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D2" w:rsidRDefault="00AD22D2" w:rsidP="00AD22D2">
      <w:pPr>
        <w:pStyle w:val="a6"/>
        <w:jc w:val="right"/>
        <w:rPr>
          <w:b/>
          <w:bCs/>
        </w:rPr>
      </w:pPr>
      <w:r>
        <w:rPr>
          <w:b/>
          <w:bCs/>
        </w:rPr>
        <w:t>«Утверждаю»</w:t>
      </w:r>
    </w:p>
    <w:p w:rsidR="00AD22D2" w:rsidRDefault="008B2B95" w:rsidP="00AD22D2">
      <w:pPr>
        <w:pStyle w:val="a6"/>
        <w:jc w:val="right"/>
        <w:rPr>
          <w:b/>
          <w:bCs/>
        </w:rPr>
      </w:pPr>
      <w:r>
        <w:rPr>
          <w:b/>
          <w:bCs/>
        </w:rPr>
        <w:t>Директор</w:t>
      </w:r>
      <w:r w:rsidR="00AD22D2">
        <w:rPr>
          <w:b/>
          <w:bCs/>
        </w:rPr>
        <w:t xml:space="preserve"> </w:t>
      </w:r>
      <w:r w:rsidR="00BD7604">
        <w:rPr>
          <w:b/>
          <w:bCs/>
        </w:rPr>
        <w:t>КГ</w:t>
      </w:r>
      <w:r w:rsidR="00AD22D2">
        <w:rPr>
          <w:b/>
          <w:bCs/>
        </w:rPr>
        <w:t xml:space="preserve">П на ПХВ </w:t>
      </w:r>
    </w:p>
    <w:p w:rsidR="00AD22D2" w:rsidRDefault="00AD22D2" w:rsidP="00AD22D2">
      <w:pPr>
        <w:pStyle w:val="a6"/>
        <w:jc w:val="right"/>
        <w:rPr>
          <w:b/>
          <w:bCs/>
        </w:rPr>
      </w:pPr>
      <w:r>
        <w:rPr>
          <w:b/>
          <w:bCs/>
        </w:rPr>
        <w:t>«</w:t>
      </w:r>
      <w:r w:rsidR="008B2B95">
        <w:rPr>
          <w:b/>
          <w:bCs/>
        </w:rPr>
        <w:t>Детская городская клиническая больница №2</w:t>
      </w:r>
      <w:r>
        <w:rPr>
          <w:b/>
          <w:bCs/>
        </w:rPr>
        <w:t>»</w:t>
      </w:r>
    </w:p>
    <w:p w:rsidR="00AD22D2" w:rsidRDefault="00AD22D2" w:rsidP="00AD22D2">
      <w:pPr>
        <w:pStyle w:val="a6"/>
        <w:jc w:val="right"/>
        <w:rPr>
          <w:b/>
          <w:bCs/>
        </w:rPr>
      </w:pPr>
      <w:r>
        <w:rPr>
          <w:b/>
          <w:bCs/>
        </w:rPr>
        <w:t xml:space="preserve">___________________ </w:t>
      </w:r>
      <w:proofErr w:type="spellStart"/>
      <w:r w:rsidR="008B2B95">
        <w:rPr>
          <w:b/>
          <w:bCs/>
        </w:rPr>
        <w:t>Рабандияров</w:t>
      </w:r>
      <w:proofErr w:type="spellEnd"/>
      <w:r w:rsidR="008B2B95">
        <w:rPr>
          <w:b/>
          <w:bCs/>
        </w:rPr>
        <w:t xml:space="preserve"> М.Р.</w:t>
      </w:r>
    </w:p>
    <w:p w:rsidR="00AD22D2" w:rsidRDefault="00AD22D2" w:rsidP="00AD22D2">
      <w:pPr>
        <w:pStyle w:val="a6"/>
        <w:jc w:val="right"/>
        <w:rPr>
          <w:b/>
          <w:bCs/>
        </w:rPr>
      </w:pPr>
      <w:r>
        <w:rPr>
          <w:b/>
          <w:bCs/>
        </w:rPr>
        <w:t>«</w:t>
      </w:r>
      <w:r w:rsidR="00234D2B">
        <w:rPr>
          <w:b/>
          <w:bCs/>
        </w:rPr>
        <w:t>21</w:t>
      </w:r>
      <w:r>
        <w:rPr>
          <w:b/>
          <w:bCs/>
        </w:rPr>
        <w:t xml:space="preserve">» </w:t>
      </w:r>
      <w:r w:rsidR="00234D2B">
        <w:rPr>
          <w:b/>
          <w:bCs/>
        </w:rPr>
        <w:t>октября</w:t>
      </w:r>
      <w:r>
        <w:rPr>
          <w:b/>
          <w:bCs/>
        </w:rPr>
        <w:t xml:space="preserve"> 20</w:t>
      </w:r>
      <w:r w:rsidR="00F20469">
        <w:rPr>
          <w:b/>
          <w:bCs/>
        </w:rPr>
        <w:t>2</w:t>
      </w:r>
      <w:r w:rsidR="008B2B95">
        <w:rPr>
          <w:b/>
          <w:bCs/>
        </w:rPr>
        <w:t>4</w:t>
      </w:r>
      <w:r>
        <w:rPr>
          <w:b/>
          <w:bCs/>
        </w:rPr>
        <w:t xml:space="preserve"> г.</w:t>
      </w:r>
    </w:p>
    <w:p w:rsidR="00962693" w:rsidRPr="001B6C4C" w:rsidRDefault="00962693" w:rsidP="001B6C4C">
      <w:pPr>
        <w:ind w:firstLine="851"/>
        <w:jc w:val="center"/>
        <w:rPr>
          <w:color w:val="000000"/>
          <w:sz w:val="28"/>
          <w:szCs w:val="28"/>
        </w:rPr>
      </w:pPr>
    </w:p>
    <w:p w:rsidR="00962693" w:rsidRPr="001B6C4C" w:rsidRDefault="00962693" w:rsidP="001B6C4C">
      <w:pPr>
        <w:ind w:firstLine="851"/>
        <w:jc w:val="center"/>
        <w:rPr>
          <w:b/>
          <w:bCs/>
          <w:color w:val="000000"/>
          <w:sz w:val="28"/>
          <w:szCs w:val="28"/>
        </w:rPr>
      </w:pPr>
      <w:r w:rsidRPr="001B6C4C">
        <w:rPr>
          <w:b/>
          <w:bCs/>
          <w:color w:val="000000"/>
          <w:sz w:val="28"/>
          <w:szCs w:val="28"/>
        </w:rPr>
        <w:t>ТЕНДЕРНАЯ ДОКУМЕНТАЦИЯ</w:t>
      </w:r>
    </w:p>
    <w:p w:rsidR="00962693" w:rsidRPr="009C1650" w:rsidRDefault="00AD22D2" w:rsidP="008B2B95">
      <w:pPr>
        <w:jc w:val="center"/>
      </w:pPr>
      <w:r>
        <w:rPr>
          <w:b/>
          <w:bCs/>
          <w:color w:val="000000"/>
          <w:sz w:val="28"/>
          <w:szCs w:val="28"/>
        </w:rPr>
        <w:t xml:space="preserve">            </w:t>
      </w:r>
    </w:p>
    <w:p w:rsidR="00962693" w:rsidRPr="009C1650" w:rsidRDefault="00962693" w:rsidP="00E670CA">
      <w:pPr>
        <w:ind w:firstLine="426"/>
        <w:jc w:val="both"/>
      </w:pPr>
      <w:r w:rsidRPr="009C1650">
        <w:t>Настоящая</w:t>
      </w:r>
      <w:r w:rsidR="00C02231">
        <w:t xml:space="preserve"> </w:t>
      </w:r>
      <w:r w:rsidRPr="009C1650">
        <w:t>тендерная</w:t>
      </w:r>
      <w:r w:rsidR="00C02231">
        <w:t xml:space="preserve"> </w:t>
      </w:r>
      <w:r w:rsidRPr="009C1650">
        <w:t>документация</w:t>
      </w:r>
      <w:r w:rsidR="003205A7">
        <w:t xml:space="preserve">, предоставляемая организатором </w:t>
      </w:r>
      <w:r w:rsidRPr="009C1650">
        <w:t>тендера</w:t>
      </w:r>
      <w:r w:rsidR="00C02231">
        <w:t xml:space="preserve"> </w:t>
      </w:r>
      <w:r w:rsidRPr="009C1650">
        <w:t xml:space="preserve">потенциальным поставщикам для подготовки тендерных заявок и участия в тендере по закупкам </w:t>
      </w:r>
      <w:r w:rsidR="00F20469">
        <w:t>медицинских изделий</w:t>
      </w:r>
      <w:r w:rsidRPr="00E670CA">
        <w:t xml:space="preserve"> для</w:t>
      </w:r>
      <w:r w:rsidR="00C02231">
        <w:t xml:space="preserve"> </w:t>
      </w:r>
      <w:r w:rsidR="00F77A30">
        <w:t>КГП на ПХВ «</w:t>
      </w:r>
      <w:r w:rsidR="008B2B95" w:rsidRPr="008B2B95">
        <w:t>Детская городская клиническая больница №2</w:t>
      </w:r>
      <w:r w:rsidR="00F77A30">
        <w:t>» УОЗ г. Алматы</w:t>
      </w:r>
      <w:r w:rsidR="00D91157">
        <w:t xml:space="preserve"> на 20</w:t>
      </w:r>
      <w:r w:rsidR="00BD7604">
        <w:t>2</w:t>
      </w:r>
      <w:r w:rsidR="008B2B95">
        <w:t>4</w:t>
      </w:r>
      <w:r w:rsidRPr="009C1650">
        <w:t xml:space="preserve"> год (далее – Тендерная документация) разработана в соответствии с </w:t>
      </w:r>
      <w:r w:rsidR="008B2B95">
        <w:t>П</w:t>
      </w:r>
      <w:r w:rsidR="008B2B95" w:rsidRPr="008B2B95">
        <w:t>равил</w:t>
      </w:r>
      <w:r w:rsidR="008B2B95">
        <w:t>ами</w:t>
      </w:r>
      <w:r w:rsidR="008B2B95" w:rsidRPr="008B2B95"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D20F0C" w:rsidRPr="009C1650">
        <w:t>, утвержденны</w:t>
      </w:r>
      <w:r w:rsidR="00835E2C">
        <w:t>ми</w:t>
      </w:r>
      <w:r w:rsidRPr="009C1650">
        <w:t xml:space="preserve"> </w:t>
      </w:r>
      <w:r w:rsidR="008B2B95" w:rsidRPr="008B2B95">
        <w:t>Приказ</w:t>
      </w:r>
      <w:r w:rsidR="008B2B95">
        <w:t>ом</w:t>
      </w:r>
      <w:r w:rsidR="008B2B95" w:rsidRPr="008B2B95">
        <w:t xml:space="preserve"> Министра здравоохранения Республики Казахстан от 7 июня 2023 года № 110</w:t>
      </w:r>
      <w:r w:rsidR="000E2D9B" w:rsidRPr="009C1650">
        <w:t xml:space="preserve"> </w:t>
      </w:r>
      <w:r w:rsidRPr="009C1650">
        <w:t xml:space="preserve">(далее </w:t>
      </w:r>
      <w:r w:rsidR="00D20F0C" w:rsidRPr="009C1650">
        <w:t xml:space="preserve">- </w:t>
      </w:r>
      <w:r w:rsidRPr="009C1650">
        <w:t>Правила).</w:t>
      </w:r>
    </w:p>
    <w:p w:rsidR="00962693" w:rsidRPr="009C1650" w:rsidRDefault="00962693" w:rsidP="00E670CA">
      <w:pPr>
        <w:ind w:firstLine="426"/>
        <w:jc w:val="both"/>
        <w:rPr>
          <w:color w:val="000000"/>
        </w:rPr>
      </w:pPr>
      <w:r w:rsidRPr="009C1650">
        <w:rPr>
          <w:b/>
        </w:rPr>
        <w:t>Организатор тендера</w:t>
      </w:r>
      <w:r w:rsidRPr="009C1650">
        <w:t xml:space="preserve">: </w:t>
      </w:r>
      <w:r w:rsidR="00BD7604">
        <w:t>КГ</w:t>
      </w:r>
      <w:r w:rsidR="00045313">
        <w:t>П на ПХВ «</w:t>
      </w:r>
      <w:r w:rsidR="008B2B95" w:rsidRPr="008B2B95">
        <w:t>Детская городская клиническая больница №2</w:t>
      </w:r>
      <w:r w:rsidR="00045313">
        <w:t>»</w:t>
      </w:r>
      <w:r w:rsidR="00F77A30">
        <w:t xml:space="preserve"> УОЗ г. Алматы</w:t>
      </w:r>
    </w:p>
    <w:p w:rsidR="00962693" w:rsidRPr="003205A7" w:rsidRDefault="00962693" w:rsidP="00A95FCD">
      <w:pPr>
        <w:widowControl w:val="0"/>
        <w:autoSpaceDE w:val="0"/>
        <w:autoSpaceDN w:val="0"/>
        <w:adjustRightInd w:val="0"/>
        <w:ind w:firstLine="426"/>
        <w:jc w:val="both"/>
      </w:pPr>
      <w:r w:rsidRPr="009C1650">
        <w:rPr>
          <w:b/>
        </w:rPr>
        <w:t>Место нахождения</w:t>
      </w:r>
      <w:r w:rsidRPr="009C1650">
        <w:t>:</w:t>
      </w:r>
      <w:r w:rsidR="003205A7">
        <w:t xml:space="preserve"> </w:t>
      </w:r>
      <w:r w:rsidRPr="009C1650">
        <w:t>г</w:t>
      </w:r>
      <w:r w:rsidR="00D20F0C" w:rsidRPr="009C1650">
        <w:t>ород</w:t>
      </w:r>
      <w:r w:rsidRPr="009C1650">
        <w:t xml:space="preserve"> Алматы</w:t>
      </w:r>
      <w:r w:rsidR="00D20F0C" w:rsidRPr="009C1650">
        <w:t xml:space="preserve">, </w:t>
      </w:r>
      <w:r w:rsidR="008B2B95">
        <w:t>2-мкрн., 54</w:t>
      </w:r>
      <w:r w:rsidR="00A95FCD">
        <w:t>.</w:t>
      </w:r>
    </w:p>
    <w:p w:rsidR="009D624B" w:rsidRDefault="009D624B" w:rsidP="00504D2A">
      <w:pPr>
        <w:jc w:val="center"/>
        <w:rPr>
          <w:b/>
          <w:bCs/>
          <w:color w:val="000000"/>
        </w:rPr>
      </w:pPr>
    </w:p>
    <w:p w:rsidR="00962693" w:rsidRPr="009C1650" w:rsidRDefault="00962693" w:rsidP="00504D2A">
      <w:pPr>
        <w:jc w:val="center"/>
        <w:rPr>
          <w:color w:val="000000"/>
        </w:rPr>
      </w:pPr>
      <w:r w:rsidRPr="009C1650">
        <w:rPr>
          <w:b/>
          <w:bCs/>
          <w:color w:val="000000"/>
        </w:rPr>
        <w:t>1. Общие положения</w:t>
      </w:r>
    </w:p>
    <w:p w:rsidR="004F07D2" w:rsidRPr="006D3F12" w:rsidRDefault="00962693" w:rsidP="004A055A">
      <w:pPr>
        <w:ind w:firstLine="708"/>
        <w:jc w:val="both"/>
        <w:rPr>
          <w:b/>
        </w:rPr>
      </w:pPr>
      <w:r w:rsidRPr="009C1650">
        <w:rPr>
          <w:color w:val="000000"/>
        </w:rPr>
        <w:t>1. Тендер проводится с целью выбора поставщиков по</w:t>
      </w:r>
      <w:r w:rsidR="00E670CA">
        <w:rPr>
          <w:b/>
          <w:bCs/>
          <w:color w:val="000000"/>
        </w:rPr>
        <w:t xml:space="preserve"> поставке</w:t>
      </w:r>
      <w:r w:rsidR="008B2B95">
        <w:rPr>
          <w:b/>
          <w:bCs/>
          <w:color w:val="000000"/>
        </w:rPr>
        <w:t xml:space="preserve"> лекарственных средств и</w:t>
      </w:r>
      <w:r w:rsidR="00E670CA">
        <w:rPr>
          <w:b/>
          <w:bCs/>
          <w:color w:val="000000"/>
        </w:rPr>
        <w:t xml:space="preserve"> </w:t>
      </w:r>
      <w:r w:rsidR="00F20469">
        <w:rPr>
          <w:b/>
          <w:bCs/>
          <w:color w:val="000000"/>
        </w:rPr>
        <w:t>медицинских изделий</w:t>
      </w:r>
      <w:r w:rsidR="004F07D2" w:rsidRPr="004F07D2">
        <w:rPr>
          <w:b/>
          <w:bCs/>
          <w:color w:val="000000"/>
        </w:rPr>
        <w:t xml:space="preserve"> согласно приложению №1.</w:t>
      </w:r>
      <w:r w:rsidR="006D3F12" w:rsidRPr="006D3F12">
        <w:rPr>
          <w:b/>
          <w:bCs/>
          <w:color w:val="000000"/>
        </w:rPr>
        <w:t xml:space="preserve"> </w:t>
      </w:r>
    </w:p>
    <w:p w:rsidR="006D3F12" w:rsidRPr="006D3F12" w:rsidRDefault="00FF2F50" w:rsidP="004A055A">
      <w:pPr>
        <w:ind w:firstLine="708"/>
        <w:jc w:val="both"/>
        <w:rPr>
          <w:b/>
          <w:color w:val="000000"/>
        </w:rPr>
      </w:pPr>
      <w:r w:rsidRPr="009C1650">
        <w:rPr>
          <w:color w:val="000000"/>
        </w:rPr>
        <w:t xml:space="preserve">2. Сумма, выделенная </w:t>
      </w:r>
      <w:proofErr w:type="gramStart"/>
      <w:r w:rsidRPr="009C1650">
        <w:rPr>
          <w:color w:val="000000"/>
        </w:rPr>
        <w:t>на закупку</w:t>
      </w:r>
      <w:proofErr w:type="gramEnd"/>
      <w:r w:rsidR="00C02231">
        <w:rPr>
          <w:color w:val="000000"/>
        </w:rPr>
        <w:t xml:space="preserve"> </w:t>
      </w:r>
      <w:r w:rsidRPr="001B6C4C">
        <w:rPr>
          <w:color w:val="000000"/>
        </w:rPr>
        <w:t>составляет</w:t>
      </w:r>
      <w:r w:rsidR="00C02231">
        <w:rPr>
          <w:color w:val="000000"/>
        </w:rPr>
        <w:t xml:space="preserve"> </w:t>
      </w:r>
      <w:r w:rsidR="00234D2B" w:rsidRPr="00234D2B">
        <w:rPr>
          <w:b/>
          <w:color w:val="000000"/>
        </w:rPr>
        <w:t xml:space="preserve">32 432 000 </w:t>
      </w:r>
      <w:r w:rsidR="001575FB" w:rsidRPr="001B6C4C">
        <w:rPr>
          <w:b/>
          <w:color w:val="000000"/>
        </w:rPr>
        <w:t>(</w:t>
      </w:r>
      <w:r w:rsidR="00234D2B">
        <w:rPr>
          <w:b/>
          <w:color w:val="000000"/>
        </w:rPr>
        <w:t>тридцать два</w:t>
      </w:r>
      <w:r w:rsidR="00B85FC9">
        <w:rPr>
          <w:b/>
          <w:color w:val="000000"/>
        </w:rPr>
        <w:t xml:space="preserve"> миллион</w:t>
      </w:r>
      <w:r w:rsidR="00234D2B">
        <w:rPr>
          <w:b/>
          <w:color w:val="000000"/>
        </w:rPr>
        <w:t>а</w:t>
      </w:r>
      <w:r w:rsidR="00B85FC9">
        <w:rPr>
          <w:b/>
          <w:color w:val="000000"/>
        </w:rPr>
        <w:t xml:space="preserve"> </w:t>
      </w:r>
      <w:r w:rsidR="00234D2B">
        <w:rPr>
          <w:b/>
          <w:color w:val="000000"/>
        </w:rPr>
        <w:t>четыреста тридцать две</w:t>
      </w:r>
      <w:r w:rsidR="00B85FC9">
        <w:rPr>
          <w:b/>
          <w:color w:val="000000"/>
        </w:rPr>
        <w:t xml:space="preserve"> тысяч</w:t>
      </w:r>
      <w:r w:rsidR="00234D2B">
        <w:rPr>
          <w:b/>
          <w:color w:val="000000"/>
        </w:rPr>
        <w:t>и</w:t>
      </w:r>
      <w:r w:rsidR="001575FB" w:rsidRPr="001B6C4C">
        <w:rPr>
          <w:b/>
          <w:color w:val="000000"/>
        </w:rPr>
        <w:t>)</w:t>
      </w:r>
      <w:r w:rsidR="00D922EE">
        <w:rPr>
          <w:b/>
          <w:color w:val="000000"/>
        </w:rPr>
        <w:t xml:space="preserve"> тенге</w:t>
      </w:r>
      <w:r w:rsidR="00956C98">
        <w:rPr>
          <w:b/>
          <w:color w:val="000000"/>
        </w:rPr>
        <w:t xml:space="preserve"> </w:t>
      </w:r>
      <w:r w:rsidR="00F77A30">
        <w:rPr>
          <w:b/>
          <w:color w:val="000000"/>
        </w:rPr>
        <w:t>0</w:t>
      </w:r>
      <w:r w:rsidR="00956C98">
        <w:rPr>
          <w:b/>
          <w:color w:val="000000"/>
        </w:rPr>
        <w:t xml:space="preserve">0 </w:t>
      </w:r>
      <w:proofErr w:type="spellStart"/>
      <w:r w:rsidR="00956C98">
        <w:rPr>
          <w:b/>
          <w:color w:val="000000"/>
        </w:rPr>
        <w:t>тиын</w:t>
      </w:r>
      <w:proofErr w:type="spellEnd"/>
      <w:r w:rsidR="00E36791">
        <w:rPr>
          <w:b/>
          <w:color w:val="000000"/>
        </w:rPr>
        <w:t>.</w:t>
      </w:r>
    </w:p>
    <w:p w:rsidR="000E2D9B" w:rsidRPr="000E2D9B" w:rsidRDefault="00FF2F50" w:rsidP="004A055A">
      <w:pPr>
        <w:ind w:firstLine="708"/>
        <w:jc w:val="both"/>
        <w:rPr>
          <w:color w:val="000000"/>
        </w:rPr>
      </w:pPr>
      <w:r w:rsidRPr="001B6C4C">
        <w:rPr>
          <w:color w:val="000000"/>
        </w:rPr>
        <w:t xml:space="preserve">3. </w:t>
      </w:r>
      <w:r w:rsidR="000E2D9B" w:rsidRPr="000E2D9B">
        <w:rPr>
          <w:color w:val="000000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Правилами, которая размещается на их </w:t>
      </w:r>
      <w:proofErr w:type="spellStart"/>
      <w:r w:rsidR="000E2D9B" w:rsidRPr="000E2D9B">
        <w:rPr>
          <w:color w:val="000000"/>
        </w:rPr>
        <w:t>интернет-ресурсе</w:t>
      </w:r>
      <w:proofErr w:type="spellEnd"/>
      <w:r w:rsidR="000E2D9B" w:rsidRPr="000E2D9B">
        <w:rPr>
          <w:color w:val="000000"/>
        </w:rPr>
        <w:t xml:space="preserve"> и содержит (в зависимости от предмета закупа):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настоящих Правил и закупаемых лекарственных средств и (или) медицинских изделий – пункт 11 настоящих Правил;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4) место, сроки и другие условия поставки лекарственных средств, медицинских изделий или оказания фармацевтических услуг;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6) требования к языкам тендерной заявки, договора закупа или договора на оказание фармацевтических услуг;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7) требования к оформлению тендерной заявки;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8) порядок, форму и сроки внесения гарантийного обеспечения тендерной заявки;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9) указание на возможность и порядок отзыва тендерной заявки;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10) место и окончательный срок приема тендерных заявок и срок их действия;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lastRenderedPageBreak/>
        <w:t>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12) место, дату, время и процедуру вскрытия конвертов с тендерными заявками;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13) процедуру рассмотрения тендерных заявок;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14) условия предоставления потенциальным поставщикам-отечественным товаропроизводителям поддержки, определенные настоящими Правилами;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4F4547" w:rsidRPr="00E31EFB" w:rsidRDefault="004F4547" w:rsidP="008D59F8">
      <w:pPr>
        <w:ind w:firstLine="708"/>
        <w:jc w:val="both"/>
        <w:rPr>
          <w:color w:val="000000"/>
        </w:rPr>
      </w:pPr>
      <w:r w:rsidRPr="00E31EFB">
        <w:rPr>
          <w:color w:val="000000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17) перечень и количество медицинской техники;</w:t>
      </w:r>
    </w:p>
    <w:p w:rsidR="004F4547" w:rsidRPr="00E31EFB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962693" w:rsidRDefault="004F4547" w:rsidP="004F4547">
      <w:pPr>
        <w:jc w:val="both"/>
        <w:rPr>
          <w:color w:val="000000"/>
        </w:rPr>
      </w:pPr>
      <w:r w:rsidRPr="00E31EFB">
        <w:rPr>
          <w:color w:val="000000"/>
        </w:rPr>
        <w:t>19) условия, предъявляемые к потенциальным поставщикам фармацевтических услуг, а также их соисполнителям, предусмотренных пунктами 8 и 9 настоящих Правил (при закупе фармацевтических услуг).</w:t>
      </w:r>
    </w:p>
    <w:p w:rsidR="004F4547" w:rsidRPr="009C1650" w:rsidRDefault="004F4547" w:rsidP="004F4547">
      <w:pPr>
        <w:jc w:val="both"/>
      </w:pPr>
    </w:p>
    <w:p w:rsidR="009C70A3" w:rsidRPr="009C1650" w:rsidRDefault="009C70A3" w:rsidP="009C70A3">
      <w:pPr>
        <w:jc w:val="center"/>
        <w:rPr>
          <w:color w:val="000000"/>
        </w:rPr>
      </w:pPr>
      <w:r w:rsidRPr="009C1650">
        <w:rPr>
          <w:b/>
          <w:bCs/>
          <w:color w:val="000000"/>
        </w:rPr>
        <w:t xml:space="preserve">2. Разъяснение организатором тендера положений </w:t>
      </w:r>
    </w:p>
    <w:p w:rsidR="009C70A3" w:rsidRDefault="009C70A3" w:rsidP="009C70A3">
      <w:pPr>
        <w:jc w:val="center"/>
        <w:rPr>
          <w:b/>
          <w:bCs/>
          <w:color w:val="000000"/>
        </w:rPr>
      </w:pPr>
      <w:r w:rsidRPr="009C1650">
        <w:rPr>
          <w:b/>
          <w:bCs/>
          <w:color w:val="000000"/>
        </w:rPr>
        <w:t>Тендерной документации потенциальным поставщикам, получившим ее копию</w:t>
      </w:r>
    </w:p>
    <w:p w:rsidR="004F4547" w:rsidRPr="004F4547" w:rsidRDefault="004F4547" w:rsidP="004F4547">
      <w:pPr>
        <w:ind w:firstLine="708"/>
        <w:jc w:val="both"/>
        <w:rPr>
          <w:rStyle w:val="s0"/>
          <w:sz w:val="24"/>
          <w:szCs w:val="24"/>
        </w:rPr>
      </w:pPr>
      <w:bookmarkStart w:id="0" w:name="SUB3100"/>
      <w:bookmarkEnd w:id="0"/>
      <w:r>
        <w:rPr>
          <w:rStyle w:val="s0"/>
          <w:sz w:val="24"/>
          <w:szCs w:val="24"/>
        </w:rPr>
        <w:t xml:space="preserve">4. </w:t>
      </w:r>
      <w:r w:rsidRPr="004F4547">
        <w:rPr>
          <w:rStyle w:val="s0"/>
          <w:sz w:val="24"/>
          <w:szCs w:val="24"/>
        </w:rPr>
        <w:t>Не позднее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4F4547" w:rsidRPr="004F4547" w:rsidRDefault="004F4547" w:rsidP="004F4547">
      <w:pPr>
        <w:ind w:firstLine="708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5. </w:t>
      </w:r>
      <w:r w:rsidRPr="004F4547">
        <w:rPr>
          <w:rStyle w:val="s0"/>
          <w:sz w:val="24"/>
          <w:szCs w:val="24"/>
        </w:rPr>
        <w:t>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4F4547" w:rsidRPr="004F4547" w:rsidRDefault="004F4547" w:rsidP="004F4547">
      <w:pPr>
        <w:ind w:firstLine="708"/>
        <w:jc w:val="both"/>
        <w:rPr>
          <w:rStyle w:val="s0"/>
          <w:sz w:val="24"/>
          <w:szCs w:val="24"/>
        </w:rPr>
      </w:pPr>
      <w:r w:rsidRPr="004F4547">
        <w:rPr>
          <w:rStyle w:val="s0"/>
          <w:sz w:val="24"/>
          <w:szCs w:val="24"/>
        </w:rPr>
        <w:t>При этом окончательный срок приема тендерных заявок продлевается на срок не менее 5 (пяти) календарных дней.</w:t>
      </w:r>
    </w:p>
    <w:p w:rsidR="009D624B" w:rsidRPr="009C1650" w:rsidRDefault="004F4547" w:rsidP="004F4547">
      <w:pPr>
        <w:ind w:firstLine="708"/>
        <w:jc w:val="both"/>
        <w:rPr>
          <w:rStyle w:val="s1"/>
        </w:rPr>
      </w:pPr>
      <w:r>
        <w:rPr>
          <w:rStyle w:val="s0"/>
          <w:sz w:val="24"/>
          <w:szCs w:val="24"/>
        </w:rPr>
        <w:t>6.</w:t>
      </w:r>
      <w:r w:rsidRPr="004F4547">
        <w:rPr>
          <w:rStyle w:val="s0"/>
          <w:sz w:val="24"/>
          <w:szCs w:val="24"/>
        </w:rPr>
        <w:t xml:space="preserve">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8065B" w:rsidRDefault="009C70A3" w:rsidP="004A055A">
      <w:pPr>
        <w:ind w:firstLine="708"/>
        <w:jc w:val="center"/>
        <w:rPr>
          <w:rStyle w:val="s1"/>
        </w:rPr>
      </w:pPr>
      <w:r w:rsidRPr="009C1650">
        <w:rPr>
          <w:rStyle w:val="s1"/>
        </w:rPr>
        <w:lastRenderedPageBreak/>
        <w:t>3</w:t>
      </w:r>
      <w:r w:rsidR="00962693" w:rsidRPr="009C1650">
        <w:rPr>
          <w:rStyle w:val="s1"/>
        </w:rPr>
        <w:t xml:space="preserve">. Срок действия, содержание, предоставление, изменение и отзыв тендерных </w:t>
      </w:r>
      <w:r w:rsidR="0018065B">
        <w:rPr>
          <w:rStyle w:val="s1"/>
        </w:rPr>
        <w:t xml:space="preserve"> заявок</w:t>
      </w:r>
      <w:r w:rsidR="00E13BCC">
        <w:rPr>
          <w:rStyle w:val="s1"/>
        </w:rPr>
        <w:t>. Требования к оформлению тендерной заявки.</w:t>
      </w:r>
    </w:p>
    <w:p w:rsidR="004A055A" w:rsidRDefault="00F33AB1" w:rsidP="004A055A">
      <w:pPr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="0018065B" w:rsidRPr="00AE7E2A">
        <w:rPr>
          <w:color w:val="000000"/>
        </w:rPr>
        <w:t xml:space="preserve">. </w:t>
      </w:r>
      <w:r w:rsidR="008D59F8" w:rsidRPr="008D59F8">
        <w:rPr>
          <w:color w:val="000000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  <w:r w:rsidR="00E31EFB">
        <w:rPr>
          <w:color w:val="000000"/>
        </w:rPr>
        <w:t xml:space="preserve"> Тендерная заявка составляется на казахском или русском языке.</w:t>
      </w:r>
    </w:p>
    <w:p w:rsidR="004A055A" w:rsidRDefault="00F33AB1" w:rsidP="004A055A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962693" w:rsidRPr="00AE7E2A">
        <w:rPr>
          <w:color w:val="000000"/>
        </w:rPr>
        <w:t xml:space="preserve">. </w:t>
      </w:r>
      <w:r w:rsidR="008D59F8" w:rsidRPr="008D59F8">
        <w:rPr>
          <w:color w:val="000000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7F3582" w:rsidRPr="008D59F8" w:rsidRDefault="00F33AB1" w:rsidP="004A055A">
      <w:pPr>
        <w:ind w:firstLine="708"/>
        <w:jc w:val="both"/>
        <w:rPr>
          <w:color w:val="000000"/>
          <w:lang w:val="kk-KZ"/>
        </w:rPr>
      </w:pPr>
      <w:r>
        <w:rPr>
          <w:color w:val="000000"/>
        </w:rPr>
        <w:t>9</w:t>
      </w:r>
      <w:r w:rsidR="00962693" w:rsidRPr="00AE7E2A">
        <w:rPr>
          <w:color w:val="000000"/>
        </w:rPr>
        <w:t>. Срок действия тендерной заявки</w:t>
      </w:r>
      <w:r w:rsidR="00835E2C">
        <w:rPr>
          <w:color w:val="000000"/>
        </w:rPr>
        <w:t xml:space="preserve"> – до подведения итогов тендера</w:t>
      </w:r>
      <w:r w:rsidR="00962693" w:rsidRPr="00AE7E2A">
        <w:rPr>
          <w:color w:val="000000"/>
        </w:rPr>
        <w:t xml:space="preserve">. Тендерная заявка, имеющая более короткий срок действия, </w:t>
      </w:r>
      <w:r w:rsidR="00962693" w:rsidRPr="00302AF5">
        <w:rPr>
          <w:color w:val="000000"/>
        </w:rPr>
        <w:t>подлежит отклонению.</w:t>
      </w:r>
    </w:p>
    <w:p w:rsidR="00835E2C" w:rsidRDefault="00F33AB1" w:rsidP="00835E2C">
      <w:pPr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1</w:t>
      </w:r>
      <w:r w:rsidR="008D59F8">
        <w:rPr>
          <w:color w:val="000000"/>
          <w:lang w:val="kk-KZ"/>
        </w:rPr>
        <w:t>0</w:t>
      </w:r>
      <w:r w:rsidR="00962693" w:rsidRPr="00273F54">
        <w:rPr>
          <w:color w:val="000000"/>
        </w:rPr>
        <w:t xml:space="preserve">. Тендерная заявка состоит из основной части, технической части и гарантийного обеспечения. </w:t>
      </w:r>
      <w:r w:rsidR="000E2D9B">
        <w:t> </w:t>
      </w:r>
      <w:r w:rsidR="00835E2C">
        <w:t xml:space="preserve"> 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11</w:t>
      </w:r>
      <w:r w:rsidRPr="008D59F8">
        <w:rPr>
          <w:color w:val="000000"/>
        </w:rPr>
        <w:t>. Основная часть тендерной заявки содержит: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D59F8">
        <w:rPr>
          <w:color w:val="000000"/>
        </w:rPr>
        <w:t>прекурсоров</w:t>
      </w:r>
      <w:proofErr w:type="spellEnd"/>
      <w:r w:rsidRPr="008D59F8">
        <w:rPr>
          <w:color w:val="00000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D59F8">
        <w:rPr>
          <w:color w:val="000000"/>
        </w:rPr>
        <w:t>прекурсоров</w:t>
      </w:r>
      <w:proofErr w:type="spellEnd"/>
      <w:r w:rsidRPr="008D59F8">
        <w:rPr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5) копии сертификатов (при наличии):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 xml:space="preserve">      о соответствии объекта и производства требованиям надлежащей производственной практики (GMP);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 xml:space="preserve">      о соответствии объекта требованиям надлежащей дистрибьюторской практики (GDP);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 xml:space="preserve">      о соответствии объекта требованиям надлежащей аптечной практики (GPP);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6) ценовое предложение по форме, согласно приложению 2 к настоящим Правилам;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7) оригинал документа, подтверждающего внесение гарантийного обеспечения тендерной заявки.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12</w:t>
      </w:r>
      <w:r w:rsidRPr="008D59F8">
        <w:rPr>
          <w:color w:val="000000"/>
        </w:rPr>
        <w:t>. Техническая часть тендерной заявки содержит: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8D59F8">
        <w:rPr>
          <w:color w:val="000000"/>
        </w:rPr>
        <w:t>docx</w:t>
      </w:r>
      <w:proofErr w:type="spellEnd"/>
      <w:r w:rsidRPr="008D59F8">
        <w:rPr>
          <w:color w:val="000000"/>
        </w:rPr>
        <w:t>");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lastRenderedPageBreak/>
        <w:t>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13</w:t>
      </w:r>
      <w:r w:rsidRPr="008D59F8">
        <w:rPr>
          <w:color w:val="000000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  <w:lang w:val="kk-KZ"/>
        </w:rPr>
        <w:t>14</w:t>
      </w:r>
      <w:r w:rsidRPr="008D59F8">
        <w:rPr>
          <w:color w:val="000000"/>
        </w:rPr>
        <w:t>. Гарантийное обеспечение тендерной заявки (далее – гарантийное обеспечение) представляется в виде: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4A055A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2) банковской гарантии по форме, согласно приложению 3 к настоящим Правилам.</w:t>
      </w:r>
      <w:r w:rsidR="004A055A">
        <w:rPr>
          <w:color w:val="000000"/>
        </w:rPr>
        <w:t xml:space="preserve"> Гарантийное обеспечение вносится по следующим реквизитам:</w:t>
      </w:r>
    </w:p>
    <w:p w:rsidR="004A055A" w:rsidRPr="008D59F8" w:rsidRDefault="004A055A" w:rsidP="004A055A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КГ</w:t>
      </w:r>
      <w:r w:rsidRPr="001A5D99">
        <w:rPr>
          <w:b/>
          <w:color w:val="000000"/>
        </w:rPr>
        <w:t>П на ПХВ «</w:t>
      </w:r>
      <w:r w:rsidR="008D59F8" w:rsidRPr="008D59F8">
        <w:rPr>
          <w:b/>
          <w:color w:val="000000"/>
        </w:rPr>
        <w:t>Детская городская клиническая больница №2</w:t>
      </w:r>
      <w:r w:rsidRPr="001A5D99">
        <w:rPr>
          <w:b/>
          <w:color w:val="000000"/>
        </w:rPr>
        <w:t>»</w:t>
      </w:r>
      <w:r w:rsidR="008D59F8" w:rsidRPr="008D59F8">
        <w:rPr>
          <w:b/>
          <w:color w:val="000000"/>
        </w:rPr>
        <w:t xml:space="preserve"> </w:t>
      </w:r>
      <w:r w:rsidR="008D59F8">
        <w:rPr>
          <w:b/>
          <w:color w:val="000000"/>
        </w:rPr>
        <w:t xml:space="preserve">УОЗ </w:t>
      </w:r>
      <w:proofErr w:type="spellStart"/>
      <w:r w:rsidR="008D59F8">
        <w:rPr>
          <w:b/>
          <w:color w:val="000000"/>
        </w:rPr>
        <w:t>г.Алматы</w:t>
      </w:r>
      <w:proofErr w:type="spellEnd"/>
    </w:p>
    <w:p w:rsidR="008D59F8" w:rsidRPr="008D59F8" w:rsidRDefault="008D59F8" w:rsidP="008D59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D59F8">
        <w:rPr>
          <w:b/>
          <w:color w:val="000000"/>
        </w:rPr>
        <w:t>БИН 990340003217</w:t>
      </w:r>
    </w:p>
    <w:p w:rsidR="008D59F8" w:rsidRPr="008D59F8" w:rsidRDefault="008D59F8" w:rsidP="008D59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D59F8">
        <w:rPr>
          <w:b/>
          <w:color w:val="000000"/>
        </w:rPr>
        <w:t>БИК IRTYKZKA</w:t>
      </w:r>
    </w:p>
    <w:p w:rsidR="008D59F8" w:rsidRPr="008D59F8" w:rsidRDefault="008D59F8" w:rsidP="008D59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8D59F8">
        <w:rPr>
          <w:b/>
          <w:color w:val="000000"/>
        </w:rPr>
        <w:t>ИИК KZ9696502F0012946940</w:t>
      </w:r>
    </w:p>
    <w:p w:rsidR="004A055A" w:rsidRPr="004A055A" w:rsidRDefault="008D59F8" w:rsidP="008D59F8">
      <w:pPr>
        <w:autoSpaceDE w:val="0"/>
        <w:autoSpaceDN w:val="0"/>
        <w:adjustRightInd w:val="0"/>
        <w:jc w:val="both"/>
        <w:rPr>
          <w:color w:val="000000"/>
        </w:rPr>
      </w:pPr>
      <w:r w:rsidRPr="008D59F8">
        <w:rPr>
          <w:b/>
          <w:color w:val="000000"/>
        </w:rPr>
        <w:t>АО "</w:t>
      </w:r>
      <w:proofErr w:type="spellStart"/>
      <w:r w:rsidRPr="008D59F8">
        <w:rPr>
          <w:b/>
          <w:color w:val="000000"/>
        </w:rPr>
        <w:t>ForteBank</w:t>
      </w:r>
      <w:proofErr w:type="spellEnd"/>
      <w:r w:rsidRPr="008D59F8">
        <w:rPr>
          <w:b/>
          <w:color w:val="000000"/>
        </w:rPr>
        <w:t>"</w:t>
      </w:r>
      <w:r w:rsidR="004A055A" w:rsidRPr="001A5D99">
        <w:rPr>
          <w:b/>
          <w:color w:val="000000"/>
        </w:rPr>
        <w:tab/>
      </w:r>
    </w:p>
    <w:p w:rsidR="008D59F8" w:rsidRPr="008D59F8" w:rsidRDefault="008D59F8" w:rsidP="00E13B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E13BCC">
        <w:rPr>
          <w:color w:val="000000"/>
        </w:rPr>
        <w:t>5</w:t>
      </w:r>
      <w:r w:rsidRPr="008D59F8">
        <w:rPr>
          <w:color w:val="000000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8D59F8" w:rsidRPr="008D59F8" w:rsidRDefault="008D59F8" w:rsidP="00E13B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E13BCC">
        <w:rPr>
          <w:color w:val="000000"/>
        </w:rPr>
        <w:t>6</w:t>
      </w:r>
      <w:r w:rsidRPr="008D59F8">
        <w:rPr>
          <w:color w:val="000000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8D59F8" w:rsidRPr="008D59F8" w:rsidRDefault="00E13BCC" w:rsidP="00E13BC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17</w:t>
      </w:r>
      <w:r w:rsidR="008D59F8" w:rsidRPr="008D59F8">
        <w:rPr>
          <w:color w:val="000000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8D59F8" w:rsidRPr="008D59F8" w:rsidRDefault="008D59F8" w:rsidP="008D59F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D59F8">
        <w:rPr>
          <w:color w:val="000000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962693" w:rsidRPr="00273F54" w:rsidRDefault="008D59F8" w:rsidP="008D59F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D59F8">
        <w:rPr>
          <w:color w:val="000000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 "Тендер по закупу________ (указывается </w:t>
      </w:r>
      <w:r w:rsidRPr="008D59F8">
        <w:rPr>
          <w:color w:val="000000"/>
        </w:rPr>
        <w:lastRenderedPageBreak/>
        <w:t>название тендера)" и "Не вскрывать до_______ (указываются дата и время вскрытия конвертов, указанные в тендерной документации)".</w:t>
      </w:r>
    </w:p>
    <w:p w:rsidR="00AC5EF3" w:rsidRPr="00273F54" w:rsidRDefault="00AC5EF3" w:rsidP="00454285">
      <w:pPr>
        <w:ind w:firstLine="708"/>
        <w:rPr>
          <w:color w:val="000000"/>
        </w:rPr>
      </w:pPr>
    </w:p>
    <w:p w:rsidR="009C70A3" w:rsidRPr="00273F54" w:rsidRDefault="009D624B" w:rsidP="009D624B">
      <w:pPr>
        <w:ind w:left="540"/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9C70A3" w:rsidRPr="00273F54">
        <w:rPr>
          <w:b/>
          <w:color w:val="000000"/>
        </w:rPr>
        <w:t>. Порядок представления заявки на участие в конкурсе</w:t>
      </w:r>
    </w:p>
    <w:p w:rsidR="009C70A3" w:rsidRPr="004441D8" w:rsidRDefault="00E13BCC" w:rsidP="009D624B">
      <w:pPr>
        <w:ind w:firstLine="540"/>
        <w:jc w:val="both"/>
        <w:rPr>
          <w:b/>
          <w:color w:val="FF0000"/>
        </w:rPr>
      </w:pPr>
      <w:r>
        <w:rPr>
          <w:color w:val="000000"/>
        </w:rPr>
        <w:t>18</w:t>
      </w:r>
      <w:r w:rsidR="009C70A3" w:rsidRPr="00273F54">
        <w:rPr>
          <w:color w:val="000000"/>
        </w:rPr>
        <w:t xml:space="preserve">.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адресу: </w:t>
      </w:r>
      <w:proofErr w:type="spellStart"/>
      <w:proofErr w:type="gramStart"/>
      <w:r w:rsidR="009C70A3" w:rsidRPr="004441D8">
        <w:rPr>
          <w:b/>
          <w:color w:val="000000"/>
        </w:rPr>
        <w:t>г,Алматы</w:t>
      </w:r>
      <w:proofErr w:type="spellEnd"/>
      <w:proofErr w:type="gramEnd"/>
      <w:r w:rsidR="009C70A3" w:rsidRPr="004441D8">
        <w:rPr>
          <w:b/>
          <w:color w:val="000000"/>
        </w:rPr>
        <w:t xml:space="preserve">, </w:t>
      </w:r>
      <w:r>
        <w:rPr>
          <w:b/>
          <w:color w:val="000000"/>
        </w:rPr>
        <w:t>2-мкрн.</w:t>
      </w:r>
      <w:r w:rsidR="001730D6" w:rsidRPr="004441D8">
        <w:rPr>
          <w:b/>
          <w:color w:val="000000"/>
        </w:rPr>
        <w:t>,</w:t>
      </w:r>
      <w:r>
        <w:rPr>
          <w:b/>
          <w:color w:val="000000"/>
        </w:rPr>
        <w:t xml:space="preserve"> 54, отдел государственных закупок,</w:t>
      </w:r>
      <w:r w:rsidR="001730D6" w:rsidRPr="004441D8">
        <w:rPr>
          <w:b/>
          <w:color w:val="000000"/>
        </w:rPr>
        <w:t xml:space="preserve"> в срок до 10.00 часов </w:t>
      </w:r>
      <w:r w:rsidR="00234D2B">
        <w:rPr>
          <w:b/>
          <w:color w:val="000000"/>
        </w:rPr>
        <w:t>11 ноября</w:t>
      </w:r>
      <w:r w:rsidR="001730D6" w:rsidRPr="004441D8">
        <w:rPr>
          <w:b/>
          <w:color w:val="000000"/>
        </w:rPr>
        <w:t xml:space="preserve"> 20</w:t>
      </w:r>
      <w:r w:rsidR="00E33984" w:rsidRPr="004441D8">
        <w:rPr>
          <w:b/>
          <w:color w:val="000000"/>
        </w:rPr>
        <w:t>2</w:t>
      </w:r>
      <w:r>
        <w:rPr>
          <w:b/>
          <w:color w:val="000000"/>
        </w:rPr>
        <w:t>4</w:t>
      </w:r>
      <w:r w:rsidR="001730D6" w:rsidRPr="004441D8">
        <w:rPr>
          <w:b/>
          <w:color w:val="000000"/>
        </w:rPr>
        <w:t xml:space="preserve"> года</w:t>
      </w:r>
      <w:r w:rsidR="009C70A3" w:rsidRPr="004441D8">
        <w:rPr>
          <w:b/>
          <w:color w:val="000000"/>
        </w:rPr>
        <w:t>.</w:t>
      </w:r>
      <w:r w:rsidR="00E33984" w:rsidRPr="004441D8">
        <w:rPr>
          <w:b/>
          <w:color w:val="000000"/>
        </w:rPr>
        <w:t xml:space="preserve"> </w:t>
      </w:r>
      <w:r w:rsidR="00B85FC9">
        <w:rPr>
          <w:b/>
          <w:color w:val="000000"/>
        </w:rPr>
        <w:t>Документы принимаются в рабочие дни с 9.00 до 18.00.</w:t>
      </w:r>
    </w:p>
    <w:p w:rsidR="00E33984" w:rsidRPr="00273F54" w:rsidRDefault="00E33984" w:rsidP="00E33984">
      <w:pPr>
        <w:jc w:val="both"/>
        <w:rPr>
          <w:color w:val="000000"/>
        </w:rPr>
      </w:pPr>
    </w:p>
    <w:p w:rsidR="00AB4E85" w:rsidRDefault="009D624B" w:rsidP="00AB4E85">
      <w:pPr>
        <w:jc w:val="center"/>
      </w:pPr>
      <w:r>
        <w:rPr>
          <w:rStyle w:val="s1"/>
        </w:rPr>
        <w:t>5</w:t>
      </w:r>
      <w:r w:rsidR="00BF2BF6" w:rsidRPr="00273F54">
        <w:rPr>
          <w:rStyle w:val="s1"/>
        </w:rPr>
        <w:t>. Вскрытие конвертов с тендерными заявками</w:t>
      </w:r>
    </w:p>
    <w:p w:rsidR="00BF2BF6" w:rsidRPr="00AB4E85" w:rsidRDefault="00E13BCC" w:rsidP="0026620B">
      <w:pPr>
        <w:ind w:firstLine="708"/>
        <w:jc w:val="both"/>
      </w:pPr>
      <w:r>
        <w:rPr>
          <w:rStyle w:val="s0"/>
          <w:sz w:val="24"/>
          <w:szCs w:val="24"/>
        </w:rPr>
        <w:t>19</w:t>
      </w:r>
      <w:r w:rsidR="00BF2BF6" w:rsidRPr="00273F54">
        <w:rPr>
          <w:rStyle w:val="s0"/>
          <w:sz w:val="24"/>
          <w:szCs w:val="24"/>
        </w:rPr>
        <w:t xml:space="preserve">. Конверты с тендерными заявками вскрываются тендерной комиссией в </w:t>
      </w:r>
      <w:r w:rsidR="001730D6">
        <w:rPr>
          <w:rStyle w:val="s0"/>
          <w:b/>
          <w:sz w:val="24"/>
          <w:szCs w:val="24"/>
        </w:rPr>
        <w:t>1</w:t>
      </w:r>
      <w:r w:rsidR="00E33984">
        <w:rPr>
          <w:rStyle w:val="s0"/>
          <w:b/>
          <w:sz w:val="24"/>
          <w:szCs w:val="24"/>
        </w:rPr>
        <w:t>1</w:t>
      </w:r>
      <w:r w:rsidR="007F5337">
        <w:rPr>
          <w:b/>
          <w:color w:val="000000"/>
        </w:rPr>
        <w:t xml:space="preserve"> часов 00 минут </w:t>
      </w:r>
      <w:r w:rsidR="00234D2B">
        <w:rPr>
          <w:b/>
          <w:color w:val="000000"/>
        </w:rPr>
        <w:t>11 ноября</w:t>
      </w:r>
      <w:bookmarkStart w:id="1" w:name="_GoBack"/>
      <w:bookmarkEnd w:id="1"/>
      <w:r w:rsidR="008B1B08" w:rsidRPr="004441D8">
        <w:rPr>
          <w:b/>
          <w:color w:val="000000"/>
        </w:rPr>
        <w:t xml:space="preserve"> </w:t>
      </w:r>
      <w:r w:rsidR="006F4064" w:rsidRPr="004441D8">
        <w:rPr>
          <w:b/>
          <w:color w:val="000000"/>
        </w:rPr>
        <w:t>202</w:t>
      </w:r>
      <w:r>
        <w:rPr>
          <w:b/>
          <w:color w:val="000000"/>
        </w:rPr>
        <w:t>4</w:t>
      </w:r>
      <w:r w:rsidR="006F4064" w:rsidRPr="004441D8">
        <w:rPr>
          <w:b/>
          <w:color w:val="000000"/>
        </w:rPr>
        <w:t xml:space="preserve"> </w:t>
      </w:r>
      <w:r w:rsidR="00BF2BF6" w:rsidRPr="00273F54">
        <w:rPr>
          <w:b/>
          <w:color w:val="000000"/>
        </w:rPr>
        <w:t xml:space="preserve">года по адресу: </w:t>
      </w:r>
      <w:r>
        <w:rPr>
          <w:b/>
          <w:color w:val="000000"/>
        </w:rPr>
        <w:t>2-мкрн.</w:t>
      </w:r>
      <w:r w:rsidRPr="004441D8">
        <w:rPr>
          <w:b/>
          <w:color w:val="000000"/>
        </w:rPr>
        <w:t>,</w:t>
      </w:r>
      <w:r>
        <w:rPr>
          <w:b/>
          <w:color w:val="000000"/>
        </w:rPr>
        <w:t xml:space="preserve"> 54, отдел государственных закупок</w:t>
      </w:r>
      <w:r w:rsidR="00F33AB1">
        <w:rPr>
          <w:b/>
          <w:color w:val="000000"/>
        </w:rPr>
        <w:t>.</w:t>
      </w:r>
    </w:p>
    <w:p w:rsidR="004A055A" w:rsidRDefault="00E13BCC" w:rsidP="00E13BCC">
      <w:pPr>
        <w:pStyle w:val="a7"/>
        <w:spacing w:before="0" w:beforeAutospacing="0" w:after="0" w:afterAutospacing="0"/>
        <w:ind w:firstLine="708"/>
        <w:jc w:val="both"/>
      </w:pPr>
      <w:r>
        <w:t xml:space="preserve">20. Продолжительность времени между завершением приема тендерных заявок и началом вскрытия конвертов с тендерными заявками не превышает 2 (двух) часов. Конверты с тендерными заявками вскрываются тендерной комиссией по времени и в месте, определенных тендерной документацией, с применением аудио- и </w:t>
      </w:r>
      <w:proofErr w:type="spellStart"/>
      <w:r>
        <w:t>видеофиксации</w:t>
      </w:r>
      <w:proofErr w:type="spellEnd"/>
      <w:r>
        <w:t>.       В процедуре вскрытия конвертов с тендерными заявками могут присутствовать потенциальные поставщики либо их уполномоченные представители.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  <w:r w:rsidR="004A055A">
        <w:t xml:space="preserve"> протокол вскрытия конвертов.</w:t>
      </w:r>
    </w:p>
    <w:p w:rsidR="00CE2D56" w:rsidRPr="00273F54" w:rsidRDefault="00CE2D56" w:rsidP="00CE2D56">
      <w:pPr>
        <w:rPr>
          <w:rFonts w:eastAsia="Consolas"/>
          <w:lang w:eastAsia="en-US"/>
        </w:rPr>
      </w:pPr>
      <w:r w:rsidRPr="00273F54">
        <w:rPr>
          <w:b/>
          <w:color w:val="000000"/>
        </w:rPr>
        <w:t xml:space="preserve">                              </w:t>
      </w:r>
      <w:r w:rsidR="009D624B">
        <w:rPr>
          <w:b/>
          <w:color w:val="000000"/>
        </w:rPr>
        <w:t>6</w:t>
      </w:r>
      <w:r w:rsidRPr="00273F54">
        <w:rPr>
          <w:b/>
          <w:color w:val="000000"/>
        </w:rPr>
        <w:t xml:space="preserve">. </w:t>
      </w:r>
      <w:r w:rsidRPr="00273F54">
        <w:rPr>
          <w:rFonts w:eastAsia="Consolas"/>
          <w:b/>
          <w:color w:val="000000"/>
          <w:lang w:eastAsia="en-US"/>
        </w:rPr>
        <w:t>Оценка и сопоставление тендерных заявок</w:t>
      </w:r>
    </w:p>
    <w:p w:rsidR="00E13BCC" w:rsidRPr="00E13BCC" w:rsidRDefault="00E13BCC" w:rsidP="00E13BCC">
      <w:pPr>
        <w:pStyle w:val="a7"/>
        <w:spacing w:before="0" w:beforeAutospacing="0" w:after="0" w:afterAutospacing="0"/>
        <w:ind w:firstLine="708"/>
        <w:jc w:val="both"/>
        <w:rPr>
          <w:rFonts w:eastAsia="Consolas"/>
          <w:color w:val="000000"/>
          <w:lang w:eastAsia="en-US"/>
        </w:rPr>
      </w:pPr>
      <w:bookmarkStart w:id="2" w:name="z295"/>
      <w:r>
        <w:rPr>
          <w:rFonts w:eastAsia="Consolas"/>
          <w:color w:val="000000"/>
          <w:lang w:eastAsia="en-US"/>
        </w:rPr>
        <w:t>21</w:t>
      </w:r>
      <w:r w:rsidRPr="00E13BCC">
        <w:rPr>
          <w:rFonts w:eastAsia="Consolas"/>
          <w:color w:val="000000"/>
          <w:lang w:eastAsia="en-US"/>
        </w:rPr>
        <w:t>. Тендерная комиссия осуществляет оценку и сопоставление тендерных заявок.</w:t>
      </w:r>
    </w:p>
    <w:p w:rsidR="00E13BCC" w:rsidRPr="00E13BCC" w:rsidRDefault="00E13BCC" w:rsidP="00E13BCC">
      <w:pPr>
        <w:pStyle w:val="a7"/>
        <w:spacing w:before="0" w:beforeAutospacing="0" w:after="0" w:afterAutospacing="0"/>
        <w:ind w:firstLine="708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E13BCC">
        <w:rPr>
          <w:rFonts w:eastAsia="Consolas"/>
          <w:color w:val="000000"/>
          <w:lang w:eastAsia="en-US"/>
        </w:rPr>
        <w:t>интернет-ресурсе</w:t>
      </w:r>
      <w:proofErr w:type="spellEnd"/>
      <w:r w:rsidRPr="00E13BCC">
        <w:rPr>
          <w:rFonts w:eastAsia="Consolas"/>
          <w:color w:val="000000"/>
          <w:lang w:eastAsia="en-US"/>
        </w:rPr>
        <w:t xml:space="preserve"> уполномоченного органа, осуществляющего контроль за проведением процедур банкротства либо ликвидации.</w:t>
      </w:r>
    </w:p>
    <w:p w:rsidR="00E13BCC" w:rsidRPr="00E13BCC" w:rsidRDefault="00E13BCC" w:rsidP="00E13BCC">
      <w:pPr>
        <w:pStyle w:val="a7"/>
        <w:spacing w:before="0" w:beforeAutospacing="0" w:after="0" w:afterAutospacing="0"/>
        <w:ind w:firstLine="708"/>
        <w:jc w:val="both"/>
        <w:rPr>
          <w:rFonts w:eastAsia="Consolas"/>
          <w:color w:val="000000"/>
          <w:lang w:eastAsia="en-US"/>
        </w:rPr>
      </w:pPr>
      <w:r>
        <w:rPr>
          <w:rFonts w:eastAsia="Consolas"/>
          <w:color w:val="000000"/>
          <w:lang w:eastAsia="en-US"/>
        </w:rPr>
        <w:t>22</w:t>
      </w:r>
      <w:r w:rsidRPr="00E13BCC">
        <w:rPr>
          <w:rFonts w:eastAsia="Consolas"/>
          <w:color w:val="000000"/>
          <w:lang w:eastAsia="en-US"/>
        </w:rPr>
        <w:t>. Тендерная комиссия отклоняет тендерную заявку в целом или по лоту в случаях: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1) непредставления гарантийного обеспечения тендерной заявки в соответствии с условиями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13BCC">
        <w:rPr>
          <w:rFonts w:eastAsia="Consolas"/>
          <w:color w:val="000000"/>
          <w:lang w:eastAsia="en-US"/>
        </w:rPr>
        <w:t>прекурсоров</w:t>
      </w:r>
      <w:proofErr w:type="spellEnd"/>
      <w:r w:rsidRPr="00E13BCC">
        <w:rPr>
          <w:rFonts w:eastAsia="Consolas"/>
          <w:color w:val="000000"/>
          <w:lang w:eastAsia="en-US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13BCC">
        <w:rPr>
          <w:rFonts w:eastAsia="Consolas"/>
          <w:color w:val="000000"/>
          <w:lang w:eastAsia="en-US"/>
        </w:rPr>
        <w:lastRenderedPageBreak/>
        <w:t>прекурсоров</w:t>
      </w:r>
      <w:proofErr w:type="spellEnd"/>
      <w:r w:rsidRPr="00E13BCC">
        <w:rPr>
          <w:rFonts w:eastAsia="Consolas"/>
          <w:color w:val="000000"/>
          <w:lang w:eastAsia="en-US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6) непредставления технической спецификации в соответствии с условиями, предусмотренными настоящими Правилами;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9) причастности к процедуре банкротства либо ликвидации;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12) несоответствия условиям пункта 10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13) установленных пунктами 15, 21 настоящих Правил;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14) если тендерная заявка имеет более короткий срок действия, чем указано в условиях тендерной документации;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17) представления тендерной заявки в </w:t>
      </w:r>
      <w:proofErr w:type="spellStart"/>
      <w:r w:rsidRPr="00E13BCC">
        <w:rPr>
          <w:rFonts w:eastAsia="Consolas"/>
          <w:color w:val="000000"/>
          <w:lang w:eastAsia="en-US"/>
        </w:rPr>
        <w:t>непрошитом</w:t>
      </w:r>
      <w:proofErr w:type="spellEnd"/>
      <w:r w:rsidRPr="00E13BCC">
        <w:rPr>
          <w:rFonts w:eastAsia="Consolas"/>
          <w:color w:val="000000"/>
          <w:lang w:eastAsia="en-US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E13BCC" w:rsidRPr="00E13BCC" w:rsidRDefault="00E13BCC" w:rsidP="00E13BCC">
      <w:pPr>
        <w:pStyle w:val="a7"/>
        <w:spacing w:before="0" w:beforeAutospacing="0" w:after="0" w:afterAutospacing="0"/>
        <w:jc w:val="both"/>
        <w:rPr>
          <w:rFonts w:eastAsia="Consolas"/>
          <w:color w:val="000000"/>
          <w:lang w:eastAsia="en-US"/>
        </w:rPr>
      </w:pPr>
      <w:r w:rsidRPr="00E13BCC">
        <w:rPr>
          <w:rFonts w:eastAsia="Consolas"/>
          <w:color w:val="000000"/>
          <w:lang w:eastAsia="en-US"/>
        </w:rPr>
        <w:t xml:space="preserve">      18) несоответствия потенциального поставщика и (или) соисполнителя условиям, предусмотренным пунктами 8 и 9 настоящих Правил;</w:t>
      </w:r>
    </w:p>
    <w:p w:rsidR="00AB4E85" w:rsidRDefault="00E13BCC" w:rsidP="00E13BCC">
      <w:pPr>
        <w:pStyle w:val="a7"/>
        <w:spacing w:before="0" w:beforeAutospacing="0" w:after="0" w:afterAutospacing="0"/>
        <w:jc w:val="both"/>
      </w:pPr>
      <w:r w:rsidRPr="00E13BCC">
        <w:rPr>
          <w:rFonts w:eastAsia="Consolas"/>
          <w:color w:val="000000"/>
          <w:lang w:eastAsia="en-US"/>
        </w:rPr>
        <w:t xml:space="preserve">      19) установления факта </w:t>
      </w:r>
      <w:proofErr w:type="spellStart"/>
      <w:r w:rsidRPr="00E13BCC">
        <w:rPr>
          <w:rFonts w:eastAsia="Consolas"/>
          <w:color w:val="000000"/>
          <w:lang w:eastAsia="en-US"/>
        </w:rPr>
        <w:t>аффилированности</w:t>
      </w:r>
      <w:proofErr w:type="spellEnd"/>
      <w:r w:rsidRPr="00E13BCC">
        <w:rPr>
          <w:rFonts w:eastAsia="Consolas"/>
          <w:color w:val="000000"/>
          <w:lang w:eastAsia="en-US"/>
        </w:rPr>
        <w:t xml:space="preserve"> в нарушение условий настоящих Правил.</w:t>
      </w:r>
    </w:p>
    <w:bookmarkEnd w:id="2"/>
    <w:p w:rsidR="00CE2D56" w:rsidRPr="00273F54" w:rsidRDefault="00CE2D56" w:rsidP="00CE2D56">
      <w:pPr>
        <w:spacing w:line="276" w:lineRule="auto"/>
        <w:rPr>
          <w:rFonts w:ascii="Consolas" w:eastAsia="Consolas" w:hAnsi="Consolas" w:cs="Consolas"/>
          <w:b/>
          <w:color w:val="000000"/>
          <w:lang w:eastAsia="en-US"/>
        </w:rPr>
      </w:pPr>
    </w:p>
    <w:p w:rsidR="00BF765F" w:rsidRPr="00273F54" w:rsidRDefault="00037E1B" w:rsidP="00BF765F">
      <w:pPr>
        <w:jc w:val="center"/>
      </w:pPr>
      <w:bookmarkStart w:id="3" w:name="z330"/>
      <w:r>
        <w:rPr>
          <w:b/>
          <w:color w:val="000000"/>
        </w:rPr>
        <w:t>7</w:t>
      </w:r>
      <w:r w:rsidR="00BF765F" w:rsidRPr="00273F54">
        <w:rPr>
          <w:b/>
          <w:color w:val="000000"/>
        </w:rPr>
        <w:t xml:space="preserve">. </w:t>
      </w:r>
      <w:r w:rsidR="0003173C" w:rsidRPr="0003173C">
        <w:rPr>
          <w:b/>
          <w:color w:val="000000"/>
        </w:rPr>
        <w:t>Поддержка отечественных товаропроизводителей и/или производителей государств-членов Евразийского экономического союза</w:t>
      </w:r>
    </w:p>
    <w:p w:rsidR="00037E1B" w:rsidRPr="00037E1B" w:rsidRDefault="00037E1B" w:rsidP="00037E1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bookmarkStart w:id="4" w:name="z173"/>
      <w:r>
        <w:rPr>
          <w:color w:val="000000"/>
        </w:rPr>
        <w:t>23</w:t>
      </w:r>
      <w:r w:rsidRPr="00037E1B">
        <w:rPr>
          <w:color w:val="000000"/>
        </w:rPr>
        <w:t>.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037E1B" w:rsidRPr="00037E1B" w:rsidRDefault="00037E1B" w:rsidP="00037E1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24</w:t>
      </w:r>
      <w:r w:rsidRPr="00037E1B">
        <w:rPr>
          <w:color w:val="000000"/>
        </w:rPr>
        <w:t xml:space="preserve">.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</w:t>
      </w:r>
      <w:r w:rsidRPr="00037E1B">
        <w:rPr>
          <w:color w:val="000000"/>
        </w:rPr>
        <w:lastRenderedPageBreak/>
        <w:t>приглашения на закуп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037E1B" w:rsidRPr="00037E1B" w:rsidRDefault="00037E1B" w:rsidP="00037E1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25</w:t>
      </w:r>
      <w:r w:rsidRPr="00037E1B">
        <w:rPr>
          <w:color w:val="000000"/>
        </w:rPr>
        <w:t>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037E1B" w:rsidRPr="00037E1B" w:rsidRDefault="00037E1B" w:rsidP="00037E1B">
      <w:pPr>
        <w:pStyle w:val="a7"/>
        <w:spacing w:before="0" w:beforeAutospacing="0" w:after="0" w:afterAutospacing="0"/>
        <w:jc w:val="both"/>
        <w:rPr>
          <w:color w:val="000000"/>
        </w:rPr>
      </w:pPr>
      <w:r w:rsidRPr="00037E1B">
        <w:rPr>
          <w:color w:val="000000"/>
        </w:rPr>
        <w:t xml:space="preserve">     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037E1B" w:rsidRPr="00037E1B" w:rsidRDefault="00037E1B" w:rsidP="00037E1B">
      <w:pPr>
        <w:pStyle w:val="a7"/>
        <w:spacing w:before="0" w:beforeAutospacing="0" w:after="0" w:afterAutospacing="0"/>
        <w:jc w:val="both"/>
        <w:rPr>
          <w:color w:val="000000"/>
        </w:rPr>
      </w:pPr>
      <w:r w:rsidRPr="00037E1B">
        <w:rPr>
          <w:color w:val="000000"/>
        </w:rPr>
        <w:t xml:space="preserve">      2) регистрационным удостоверением на лекарственное средство или медицинское изделие, выданным в соответствии с приказом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037E1B" w:rsidRPr="00037E1B" w:rsidRDefault="00037E1B" w:rsidP="00037E1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037E1B">
        <w:rPr>
          <w:color w:val="000000"/>
        </w:rPr>
        <w:t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"СТ-KZ".</w:t>
      </w:r>
    </w:p>
    <w:p w:rsidR="00037E1B" w:rsidRPr="00037E1B" w:rsidRDefault="00037E1B" w:rsidP="00037E1B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26</w:t>
      </w:r>
      <w:r w:rsidRPr="00037E1B">
        <w:rPr>
          <w:color w:val="000000"/>
        </w:rPr>
        <w:t>. Статус потенциального поставщика-производителя государств-членов ЕАЭС подтверждается следующими документами:</w:t>
      </w:r>
    </w:p>
    <w:p w:rsidR="00037E1B" w:rsidRPr="00037E1B" w:rsidRDefault="00037E1B" w:rsidP="00037E1B">
      <w:pPr>
        <w:pStyle w:val="a7"/>
        <w:spacing w:before="0" w:beforeAutospacing="0" w:after="0" w:afterAutospacing="0"/>
        <w:jc w:val="both"/>
        <w:rPr>
          <w:color w:val="000000"/>
        </w:rPr>
      </w:pPr>
      <w:r w:rsidRPr="00037E1B">
        <w:rPr>
          <w:color w:val="000000"/>
        </w:rPr>
        <w:t xml:space="preserve">      1) лицензией на фармацевтическую деятельность по производству лекарственных средств и (или) медицинских изделий;</w:t>
      </w:r>
    </w:p>
    <w:p w:rsidR="00AB4E85" w:rsidRDefault="00037E1B" w:rsidP="00037E1B">
      <w:pPr>
        <w:pStyle w:val="a7"/>
        <w:spacing w:before="0" w:beforeAutospacing="0" w:after="0" w:afterAutospacing="0"/>
        <w:jc w:val="both"/>
      </w:pPr>
      <w:r w:rsidRPr="00037E1B">
        <w:rPr>
          <w:color w:val="000000"/>
        </w:rPr>
        <w:t xml:space="preserve">      2) регистрационным удостоверением, соответствующих решению Совета ЕАЭС от 3 ноября 2016 года № 78 "О Правилах регистрации и экспертизы лекарственных средств для медицинского применения" и решению 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BF765F" w:rsidRPr="00273F54" w:rsidRDefault="00BF765F" w:rsidP="00037E1B">
      <w:pPr>
        <w:jc w:val="both"/>
      </w:pPr>
    </w:p>
    <w:p w:rsidR="0018065B" w:rsidRPr="00273F54" w:rsidRDefault="00BF765F" w:rsidP="00037E1B">
      <w:pPr>
        <w:jc w:val="both"/>
        <w:rPr>
          <w:rFonts w:eastAsia="Consolas"/>
          <w:lang w:eastAsia="en-US"/>
        </w:rPr>
      </w:pPr>
      <w:bookmarkStart w:id="5" w:name="z177"/>
      <w:bookmarkEnd w:id="4"/>
      <w:r w:rsidRPr="00273F54">
        <w:rPr>
          <w:b/>
          <w:color w:val="000000"/>
        </w:rPr>
        <w:t xml:space="preserve">                           </w:t>
      </w:r>
      <w:bookmarkEnd w:id="3"/>
      <w:bookmarkEnd w:id="5"/>
      <w:r w:rsidR="00037E1B">
        <w:rPr>
          <w:b/>
          <w:color w:val="000000"/>
        </w:rPr>
        <w:t>8</w:t>
      </w:r>
      <w:r w:rsidR="0018065B" w:rsidRPr="00273F54">
        <w:rPr>
          <w:rFonts w:eastAsia="Consolas"/>
          <w:b/>
          <w:color w:val="000000"/>
          <w:lang w:eastAsia="en-US"/>
        </w:rPr>
        <w:t>.Гарантийное обеспечение исполнения договора</w:t>
      </w:r>
    </w:p>
    <w:p w:rsidR="007A5E40" w:rsidRDefault="00037E1B" w:rsidP="007A5E40">
      <w:pPr>
        <w:pStyle w:val="a7"/>
        <w:spacing w:before="0" w:beforeAutospacing="0" w:after="0" w:afterAutospacing="0"/>
        <w:ind w:firstLine="708"/>
        <w:jc w:val="both"/>
      </w:pPr>
      <w:bookmarkStart w:id="6" w:name="z355"/>
      <w:r>
        <w:t>27</w:t>
      </w:r>
      <w:r w:rsidR="007A5E40">
        <w:t>. Содержание, форма и условия внесения гарантийного обеспечения договора закупа или договора на оказание фармацевтических услуг (далее – гарантийное обеспечение) определяются заказчиком или организатором закупа в соответствии с положениями Правил и подлежат включению в тендерную документацию, договор закупа или договор на оказание фармацевтических услуг.</w:t>
      </w:r>
    </w:p>
    <w:p w:rsidR="007A5E40" w:rsidRDefault="00037E1B" w:rsidP="007A5E40">
      <w:pPr>
        <w:pStyle w:val="a7"/>
        <w:spacing w:before="0" w:beforeAutospacing="0" w:after="0" w:afterAutospacing="0"/>
        <w:ind w:firstLine="708"/>
        <w:jc w:val="both"/>
      </w:pPr>
      <w:r>
        <w:t>28</w:t>
      </w:r>
      <w:r w:rsidR="007A5E40">
        <w:t>. 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1) гарантийного взноса в виде денежных средств, размещаемых в обслуживающем банке заказчика;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Гарантийное обеспечение в виде гарантийного взноса денежных средств вносится потенциальным поставщиком на соответствующий счет заказчика.</w:t>
      </w:r>
    </w:p>
    <w:p w:rsidR="007A5E40" w:rsidRDefault="00037E1B" w:rsidP="007A5E40">
      <w:pPr>
        <w:pStyle w:val="a7"/>
        <w:spacing w:before="0" w:beforeAutospacing="0" w:after="0" w:afterAutospacing="0"/>
        <w:ind w:firstLine="708"/>
        <w:jc w:val="both"/>
      </w:pPr>
      <w:r>
        <w:t>29</w:t>
      </w:r>
      <w:r w:rsidR="007A5E40">
        <w:t xml:space="preserve">. 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="007A5E40">
        <w:t>двухтысячекратного</w:t>
      </w:r>
      <w:proofErr w:type="spellEnd"/>
      <w:r w:rsidR="007A5E40">
        <w:t xml:space="preserve"> размера месячного расчетного показателя на соответствующий финансовый год.</w:t>
      </w:r>
    </w:p>
    <w:p w:rsidR="007A5E40" w:rsidRDefault="00037E1B" w:rsidP="007A5E40">
      <w:pPr>
        <w:pStyle w:val="a7"/>
        <w:spacing w:before="0" w:beforeAutospacing="0" w:after="0" w:afterAutospacing="0"/>
        <w:ind w:firstLine="708"/>
        <w:jc w:val="both"/>
      </w:pPr>
      <w:r>
        <w:t>30</w:t>
      </w:r>
      <w:r w:rsidR="007A5E40">
        <w:t>.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силу, если им не предусмотрено иное.</w:t>
      </w:r>
    </w:p>
    <w:p w:rsidR="007A5E40" w:rsidRDefault="00037E1B" w:rsidP="007A5E40">
      <w:pPr>
        <w:pStyle w:val="a7"/>
        <w:spacing w:before="0" w:beforeAutospacing="0" w:after="0" w:afterAutospacing="0"/>
        <w:ind w:firstLine="708"/>
        <w:jc w:val="both"/>
      </w:pPr>
      <w:r>
        <w:lastRenderedPageBreak/>
        <w:t>31</w:t>
      </w:r>
      <w:r w:rsidR="007A5E40">
        <w:t>. Гарантийное обеспечение исполнения договора закупа или договора на оказание фармацевтических услуг не возвращается заказчиком поставщику в случаях: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7A5E40" w:rsidRDefault="007A5E40" w:rsidP="007A5E40">
      <w:pPr>
        <w:pStyle w:val="a7"/>
        <w:spacing w:before="0" w:beforeAutospacing="0" w:after="0" w:afterAutospacing="0"/>
        <w:jc w:val="both"/>
      </w:pPr>
      <w: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E33984" w:rsidRDefault="00E33984" w:rsidP="007A5E40">
      <w:pPr>
        <w:spacing w:line="276" w:lineRule="auto"/>
        <w:jc w:val="both"/>
        <w:rPr>
          <w:rFonts w:eastAsia="Consolas"/>
          <w:color w:val="000000"/>
          <w:lang w:eastAsia="en-US"/>
        </w:rPr>
      </w:pPr>
    </w:p>
    <w:bookmarkEnd w:id="6"/>
    <w:p w:rsidR="0018065B" w:rsidRPr="009C1650" w:rsidRDefault="0018065B" w:rsidP="007A5E40">
      <w:pPr>
        <w:spacing w:after="120"/>
        <w:ind w:left="540"/>
        <w:jc w:val="both"/>
        <w:rPr>
          <w:b/>
          <w:color w:val="000000"/>
        </w:rPr>
      </w:pPr>
    </w:p>
    <w:p w:rsidR="0018065B" w:rsidRPr="009C1650" w:rsidRDefault="0018065B" w:rsidP="00CE2D56">
      <w:pPr>
        <w:jc w:val="both"/>
        <w:rPr>
          <w:b/>
          <w:color w:val="000000"/>
        </w:rPr>
      </w:pPr>
    </w:p>
    <w:sectPr w:rsidR="0018065B" w:rsidRPr="009C1650" w:rsidSect="00E8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62693"/>
    <w:rsid w:val="00006CDF"/>
    <w:rsid w:val="00011DCE"/>
    <w:rsid w:val="00022C82"/>
    <w:rsid w:val="0003173C"/>
    <w:rsid w:val="00036CC2"/>
    <w:rsid w:val="00037E1B"/>
    <w:rsid w:val="00045313"/>
    <w:rsid w:val="000A43CA"/>
    <w:rsid w:val="000C3EFF"/>
    <w:rsid w:val="000D6776"/>
    <w:rsid w:val="000E2D9B"/>
    <w:rsid w:val="00120B24"/>
    <w:rsid w:val="00137C31"/>
    <w:rsid w:val="001575FB"/>
    <w:rsid w:val="0016518F"/>
    <w:rsid w:val="001730D6"/>
    <w:rsid w:val="001746A3"/>
    <w:rsid w:val="0018065B"/>
    <w:rsid w:val="001A5D99"/>
    <w:rsid w:val="001B6C4C"/>
    <w:rsid w:val="001D4D20"/>
    <w:rsid w:val="001F3CD6"/>
    <w:rsid w:val="00234D2B"/>
    <w:rsid w:val="0026620B"/>
    <w:rsid w:val="00273F54"/>
    <w:rsid w:val="00277DAB"/>
    <w:rsid w:val="002A2ED0"/>
    <w:rsid w:val="002D65FD"/>
    <w:rsid w:val="002F203C"/>
    <w:rsid w:val="00302AF5"/>
    <w:rsid w:val="003205A7"/>
    <w:rsid w:val="00337163"/>
    <w:rsid w:val="00342BB7"/>
    <w:rsid w:val="0037456F"/>
    <w:rsid w:val="00387FA1"/>
    <w:rsid w:val="003B2E18"/>
    <w:rsid w:val="003E75EC"/>
    <w:rsid w:val="004441D8"/>
    <w:rsid w:val="00454285"/>
    <w:rsid w:val="00472497"/>
    <w:rsid w:val="004732D1"/>
    <w:rsid w:val="004A055A"/>
    <w:rsid w:val="004F07D2"/>
    <w:rsid w:val="004F4547"/>
    <w:rsid w:val="00504D2A"/>
    <w:rsid w:val="00505EA2"/>
    <w:rsid w:val="00534A41"/>
    <w:rsid w:val="00545786"/>
    <w:rsid w:val="005A6200"/>
    <w:rsid w:val="006066C9"/>
    <w:rsid w:val="00613D8D"/>
    <w:rsid w:val="00623BB3"/>
    <w:rsid w:val="006348F7"/>
    <w:rsid w:val="00635E0F"/>
    <w:rsid w:val="006553CF"/>
    <w:rsid w:val="006A2485"/>
    <w:rsid w:val="006B0043"/>
    <w:rsid w:val="006B3BDB"/>
    <w:rsid w:val="006C0D9A"/>
    <w:rsid w:val="006C41A1"/>
    <w:rsid w:val="006D3F12"/>
    <w:rsid w:val="006F4064"/>
    <w:rsid w:val="006F513D"/>
    <w:rsid w:val="00707D1B"/>
    <w:rsid w:val="0071033E"/>
    <w:rsid w:val="007166D5"/>
    <w:rsid w:val="007247BB"/>
    <w:rsid w:val="007565F1"/>
    <w:rsid w:val="007A5E40"/>
    <w:rsid w:val="007D294C"/>
    <w:rsid w:val="007F3582"/>
    <w:rsid w:val="007F5337"/>
    <w:rsid w:val="00821182"/>
    <w:rsid w:val="00835E2C"/>
    <w:rsid w:val="00847177"/>
    <w:rsid w:val="008A4D8E"/>
    <w:rsid w:val="008B077D"/>
    <w:rsid w:val="008B1B08"/>
    <w:rsid w:val="008B2B95"/>
    <w:rsid w:val="008D59F8"/>
    <w:rsid w:val="008E2990"/>
    <w:rsid w:val="008E42BB"/>
    <w:rsid w:val="00911E81"/>
    <w:rsid w:val="00934189"/>
    <w:rsid w:val="009366A7"/>
    <w:rsid w:val="00956C98"/>
    <w:rsid w:val="00962693"/>
    <w:rsid w:val="00985296"/>
    <w:rsid w:val="009857DB"/>
    <w:rsid w:val="009A4F9B"/>
    <w:rsid w:val="009C1650"/>
    <w:rsid w:val="009C70A3"/>
    <w:rsid w:val="009D624B"/>
    <w:rsid w:val="009E5EA4"/>
    <w:rsid w:val="00A172AA"/>
    <w:rsid w:val="00A95FCD"/>
    <w:rsid w:val="00AB4E85"/>
    <w:rsid w:val="00AB51BE"/>
    <w:rsid w:val="00AC500C"/>
    <w:rsid w:val="00AC5EF3"/>
    <w:rsid w:val="00AD22D2"/>
    <w:rsid w:val="00AE7E2A"/>
    <w:rsid w:val="00AE7F98"/>
    <w:rsid w:val="00B0556E"/>
    <w:rsid w:val="00B14CFD"/>
    <w:rsid w:val="00B34851"/>
    <w:rsid w:val="00B77A16"/>
    <w:rsid w:val="00B85FC9"/>
    <w:rsid w:val="00BD7604"/>
    <w:rsid w:val="00BF2BF6"/>
    <w:rsid w:val="00BF765F"/>
    <w:rsid w:val="00C02231"/>
    <w:rsid w:val="00C84BA5"/>
    <w:rsid w:val="00C95FDB"/>
    <w:rsid w:val="00CC41A3"/>
    <w:rsid w:val="00CE2D56"/>
    <w:rsid w:val="00CF479B"/>
    <w:rsid w:val="00D20F0C"/>
    <w:rsid w:val="00D2716E"/>
    <w:rsid w:val="00D37C07"/>
    <w:rsid w:val="00D67902"/>
    <w:rsid w:val="00D91157"/>
    <w:rsid w:val="00D922EE"/>
    <w:rsid w:val="00DB0CBD"/>
    <w:rsid w:val="00E13BCC"/>
    <w:rsid w:val="00E24ABA"/>
    <w:rsid w:val="00E2555A"/>
    <w:rsid w:val="00E31EFB"/>
    <w:rsid w:val="00E33984"/>
    <w:rsid w:val="00E36791"/>
    <w:rsid w:val="00E5205E"/>
    <w:rsid w:val="00E605E2"/>
    <w:rsid w:val="00E670CA"/>
    <w:rsid w:val="00E75BF2"/>
    <w:rsid w:val="00E8476E"/>
    <w:rsid w:val="00EA3002"/>
    <w:rsid w:val="00EA7A69"/>
    <w:rsid w:val="00ED0931"/>
    <w:rsid w:val="00F05C21"/>
    <w:rsid w:val="00F20469"/>
    <w:rsid w:val="00F2459A"/>
    <w:rsid w:val="00F33AB1"/>
    <w:rsid w:val="00F77A30"/>
    <w:rsid w:val="00F83813"/>
    <w:rsid w:val="00FC357A"/>
    <w:rsid w:val="00FD54A3"/>
    <w:rsid w:val="00FF0B3D"/>
    <w:rsid w:val="00FF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3B30D"/>
  <w15:docId w15:val="{3AD3C634-6483-499E-8744-4D62F5D0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9626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3">
    <w:name w:val="Hyperlink"/>
    <w:uiPriority w:val="99"/>
    <w:rsid w:val="00962693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uiPriority w:val="99"/>
    <w:rsid w:val="00962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Balloon Text"/>
    <w:basedOn w:val="a"/>
    <w:link w:val="a5"/>
    <w:rsid w:val="003745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45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D22D2"/>
    <w:pPr>
      <w:suppressAutoHyphens/>
    </w:pPr>
    <w:rPr>
      <w:color w:val="00000A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A05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15E4-2586-44C8-AE6C-8BAB8DAC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8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68</cp:revision>
  <cp:lastPrinted>2020-02-18T08:06:00Z</cp:lastPrinted>
  <dcterms:created xsi:type="dcterms:W3CDTF">2017-02-08T08:08:00Z</dcterms:created>
  <dcterms:modified xsi:type="dcterms:W3CDTF">2024-10-18T07:01:00Z</dcterms:modified>
</cp:coreProperties>
</file>