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28F7C1A0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6320FD">
        <w:rPr>
          <w:rFonts w:ascii="Times New Roman" w:hAnsi="Times New Roman" w:cs="Times New Roman"/>
          <w:b/>
          <w:sz w:val="28"/>
          <w:szCs w:val="24"/>
        </w:rPr>
        <w:t>10</w:t>
      </w:r>
      <w:bookmarkStart w:id="0" w:name="_GoBack"/>
      <w:bookmarkEnd w:id="0"/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D667BE">
        <w:rPr>
          <w:rFonts w:ascii="Times New Roman" w:hAnsi="Times New Roman" w:cs="Times New Roman"/>
          <w:b/>
          <w:sz w:val="28"/>
          <w:szCs w:val="24"/>
        </w:rPr>
        <w:t>4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Pr="00162E86">
        <w:rPr>
          <w:rFonts w:ascii="Times New Roman" w:hAnsi="Times New Roman" w:cs="Times New Roman"/>
          <w:sz w:val="28"/>
          <w:szCs w:val="28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015F0023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533E6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17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апреля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526D11DF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533E6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17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апреля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47C41014" w:rsidR="00EB6B8F" w:rsidRPr="008D07F1" w:rsidRDefault="003E4A80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spellStart"/>
      <w:r w:rsidR="008D07F1" w:rsidRPr="008D07F1">
        <w:rPr>
          <w:rFonts w:asciiTheme="majorHAnsi" w:hAnsiTheme="majorHAnsi"/>
          <w:b/>
          <w:sz w:val="28"/>
          <w:szCs w:val="28"/>
        </w:rPr>
        <w:t>Рабандияро</w:t>
      </w:r>
      <w:r w:rsidR="008D07F1">
        <w:rPr>
          <w:rFonts w:asciiTheme="majorHAnsi" w:hAnsiTheme="majorHAnsi"/>
          <w:b/>
          <w:sz w:val="28"/>
          <w:szCs w:val="28"/>
        </w:rPr>
        <w:t>в</w:t>
      </w:r>
      <w:proofErr w:type="spellEnd"/>
      <w:r w:rsidR="008D07F1" w:rsidRPr="008D07F1">
        <w:rPr>
          <w:rFonts w:asciiTheme="majorHAnsi" w:hAnsiTheme="majorHAnsi"/>
          <w:b/>
          <w:sz w:val="28"/>
          <w:szCs w:val="28"/>
        </w:rPr>
        <w:t xml:space="preserve"> М.Р.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4961"/>
        <w:gridCol w:w="1134"/>
        <w:gridCol w:w="567"/>
        <w:gridCol w:w="850"/>
        <w:gridCol w:w="1135"/>
      </w:tblGrid>
      <w:tr w:rsidR="00356DE1" w:rsidRPr="007A4F62" w14:paraId="6D3C9E14" w14:textId="77777777" w:rsidTr="00E57905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7A4F6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E5790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51949" w:rsidRPr="007A4F62" w14:paraId="1136903F" w14:textId="77777777" w:rsidTr="00E57905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3AB04EF" w14:textId="6E263E4F" w:rsidR="00C51949" w:rsidRPr="00D667BE" w:rsidRDefault="00AE1C94" w:rsidP="00A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C94">
              <w:rPr>
                <w:rFonts w:ascii="Times New Roman" w:hAnsi="Times New Roman" w:cs="Times New Roman"/>
              </w:rPr>
              <w:t xml:space="preserve">Глюкоза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7D3C07" w14:textId="77777777" w:rsidR="00AE1C94" w:rsidRDefault="00AE1C94" w:rsidP="00AE1C94">
            <w:r>
              <w:t xml:space="preserve">Диагностический реагент для количественного определения глюкозы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 в сыворотке, моче или плазме на биохимическом анализаторе. Жидкий и готовый к использованию </w:t>
            </w:r>
            <w:proofErr w:type="spellStart"/>
            <w:r>
              <w:t>монореагент</w:t>
            </w:r>
            <w:proofErr w:type="spellEnd"/>
            <w:r>
              <w:t xml:space="preserve">, </w:t>
            </w:r>
            <w:proofErr w:type="spellStart"/>
            <w:r>
              <w:t>детекция</w:t>
            </w:r>
            <w:proofErr w:type="spellEnd"/>
            <w:r>
              <w:t xml:space="preserve"> ферментативным колориметрическим методом GOD-POD; в диагностике и лечении нарушений углеводного обмена, таких как сахарный диабет, гипогликемия и гипергликемия. Состав: R1 - Фосфатный буфер </w:t>
            </w:r>
            <w:proofErr w:type="spellStart"/>
            <w:r>
              <w:t>pH</w:t>
            </w:r>
            <w:proofErr w:type="spellEnd"/>
            <w:r>
              <w:t xml:space="preserve"> 7,4 100,0 </w:t>
            </w:r>
            <w:proofErr w:type="spellStart"/>
            <w:r>
              <w:t>ммоль</w:t>
            </w:r>
            <w:proofErr w:type="spellEnd"/>
            <w:r>
              <w:t xml:space="preserve">/л, фенол 9.0 </w:t>
            </w:r>
            <w:proofErr w:type="spellStart"/>
            <w:r>
              <w:t>ммоль</w:t>
            </w:r>
            <w:proofErr w:type="spellEnd"/>
            <w:r>
              <w:t xml:space="preserve">/л, GOD ≥ 15000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/л, POD ≥ 1200 </w:t>
            </w:r>
            <w:proofErr w:type="spellStart"/>
            <w:r>
              <w:t>Ед</w:t>
            </w:r>
            <w:proofErr w:type="spellEnd"/>
            <w:r>
              <w:t xml:space="preserve">/л. R2 - 4-аминофеназон 80,0 </w:t>
            </w:r>
            <w:proofErr w:type="spellStart"/>
            <w:r>
              <w:t>ммоль</w:t>
            </w:r>
            <w:proofErr w:type="spellEnd"/>
            <w:r>
              <w:t>/л. Хранение и стабильность:</w:t>
            </w:r>
          </w:p>
          <w:p w14:paraId="3474AE7D" w14:textId="77777777" w:rsidR="00AE1C94" w:rsidRDefault="00AE1C94" w:rsidP="00AE1C94">
            <w:r>
              <w:t>- Хранить набор при 2-8°С. Не замораживать реагенты.</w:t>
            </w:r>
          </w:p>
          <w:p w14:paraId="7B56B1FF" w14:textId="77777777" w:rsidR="00AE1C94" w:rsidRDefault="00AE1C94" w:rsidP="00AE1C94">
            <w:r>
              <w:t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(R1+R2): 60 дней при 2-8°C. Фасовка: 6х50мл. Линейность: реакция является линейной в диапазоне концентраций от 3,1 мг/</w:t>
            </w:r>
            <w:proofErr w:type="spellStart"/>
            <w:r>
              <w:t>дл</w:t>
            </w:r>
            <w:proofErr w:type="spellEnd"/>
            <w:r>
              <w:t xml:space="preserve"> (0,17 </w:t>
            </w:r>
            <w:proofErr w:type="spellStart"/>
            <w:r>
              <w:t>ммоль</w:t>
            </w:r>
            <w:proofErr w:type="spellEnd"/>
            <w:r>
              <w:t>/л) до 500 мг/</w:t>
            </w:r>
            <w:proofErr w:type="spellStart"/>
            <w:r>
              <w:t>дл</w:t>
            </w:r>
            <w:proofErr w:type="spellEnd"/>
            <w:r>
              <w:t xml:space="preserve"> (34,6 </w:t>
            </w:r>
            <w:proofErr w:type="spellStart"/>
            <w:r>
              <w:t>ммоль</w:t>
            </w:r>
            <w:proofErr w:type="spellEnd"/>
            <w:r>
              <w:t xml:space="preserve">/л). Аналитическая чувствительность: чувствительность теста по пределу обнаружения составляет 3,1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/л (0,17 </w:t>
            </w:r>
            <w:proofErr w:type="spellStart"/>
            <w:r>
              <w:t>ммоль</w:t>
            </w:r>
            <w:proofErr w:type="spellEnd"/>
            <w:r>
              <w:t xml:space="preserve">/л). </w:t>
            </w:r>
            <w:proofErr w:type="spellStart"/>
            <w:r>
              <w:t>Внутрианалитическая</w:t>
            </w:r>
            <w:proofErr w:type="spellEnd"/>
            <w:r>
              <w:t xml:space="preserve"> сходимость (</w:t>
            </w:r>
            <w:proofErr w:type="spellStart"/>
            <w:r>
              <w:t>межсерийная</w:t>
            </w:r>
            <w:proofErr w:type="spellEnd"/>
            <w:r>
              <w:t>): среднее значение (мг/</w:t>
            </w:r>
            <w:proofErr w:type="spellStart"/>
            <w:r>
              <w:t>дл</w:t>
            </w:r>
            <w:proofErr w:type="spellEnd"/>
            <w:r>
              <w:t xml:space="preserve">); N = 94,88 H = 246,65; С.О. N = 1,60 H = 6,51; К.В.% N = 1,72 H = 2,64. </w:t>
            </w:r>
            <w:proofErr w:type="spellStart"/>
            <w:r>
              <w:t>Внутрианалитическая</w:t>
            </w:r>
            <w:proofErr w:type="spellEnd"/>
            <w:r>
              <w:t xml:space="preserve"> сходимость (</w:t>
            </w:r>
            <w:proofErr w:type="spellStart"/>
            <w:r>
              <w:t>внутрисерийная</w:t>
            </w:r>
            <w:proofErr w:type="spellEnd"/>
            <w:r>
              <w:t>): Среднее значение (мг/</w:t>
            </w:r>
            <w:proofErr w:type="spellStart"/>
            <w:r>
              <w:t>дл</w:t>
            </w:r>
            <w:proofErr w:type="spellEnd"/>
            <w:r>
              <w:t xml:space="preserve">); N = 92,55 H = 249,22; S.D N = 2,40 H = 3,03; К.В.% N = 2,53 H = 1,22. Соответствует Регламенту (ЕС) № 1272/2008 - CLP (и последующими поправками) и Директиве 88/379 / CEE. Фактор конверсии Глюкоза [мг / </w:t>
            </w:r>
            <w:proofErr w:type="spellStart"/>
            <w:r>
              <w:t>дл</w:t>
            </w:r>
            <w:proofErr w:type="spellEnd"/>
            <w:r>
              <w:t>] x 0,05551 = глюкоза [</w:t>
            </w:r>
            <w:proofErr w:type="spellStart"/>
            <w:r>
              <w:t>ммоль</w:t>
            </w:r>
            <w:proofErr w:type="spellEnd"/>
            <w:r>
              <w:t xml:space="preserve"> / л]. Предел интерферирующих веществ: билирубин ≤ 15 мг / </w:t>
            </w:r>
            <w:proofErr w:type="spellStart"/>
            <w:r>
              <w:t>дл</w:t>
            </w:r>
            <w:proofErr w:type="spellEnd"/>
            <w:r>
              <w:t xml:space="preserve">; триглицериды ≤ 1000 мг / </w:t>
            </w:r>
            <w:proofErr w:type="spellStart"/>
            <w:r>
              <w:t>дл</w:t>
            </w:r>
            <w:proofErr w:type="spellEnd"/>
            <w:r>
              <w:t xml:space="preserve">; гемоглобин ≤ 300 мг / </w:t>
            </w:r>
            <w:proofErr w:type="spellStart"/>
            <w:r>
              <w:t>дл</w:t>
            </w:r>
            <w:proofErr w:type="spellEnd"/>
            <w:r>
              <w:t>; аскорбиновая кислота ≤ 35 мг / дл.</w:t>
            </w:r>
          </w:p>
          <w:p w14:paraId="42E922C9" w14:textId="47F77381" w:rsidR="00C51949" w:rsidRPr="007A4F62" w:rsidRDefault="00AE1C94" w:rsidP="00AE1C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>
              <w:t>валидации</w:t>
            </w:r>
            <w:proofErr w:type="spellEnd"/>
            <w:r>
              <w:t xml:space="preserve"> калибровки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утвержденным</w:t>
            </w:r>
            <w:proofErr w:type="gramEnd"/>
            <w: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84A52" w14:textId="553BC3FC" w:rsidR="00C51949" w:rsidRPr="007A4F62" w:rsidRDefault="00AE1C9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7E256" w14:textId="2DF14457" w:rsidR="00C51949" w:rsidRPr="007A4F62" w:rsidRDefault="008C7F83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2E013" w14:textId="3636407A" w:rsidR="00C51949" w:rsidRPr="007A4F62" w:rsidRDefault="008C7F83" w:rsidP="009C776E">
            <w:pPr>
              <w:spacing w:before="100" w:beforeAutospacing="1" w:after="100" w:afterAutospacing="1"/>
              <w:ind w:left="2835" w:right="-2" w:hanging="2835"/>
              <w:jc w:val="right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29 489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CB02C9" w14:textId="5AE01D0E" w:rsidR="00C51949" w:rsidRPr="007A4F62" w:rsidRDefault="008C7F83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353 868</w:t>
            </w:r>
          </w:p>
        </w:tc>
      </w:tr>
      <w:tr w:rsidR="00C51949" w:rsidRPr="007A4F62" w14:paraId="1237447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5486F57" w14:textId="17E13950" w:rsidR="00C51949" w:rsidRPr="007A4F62" w:rsidRDefault="00C51949" w:rsidP="007F4969">
            <w:pPr>
              <w:pStyle w:val="a6"/>
              <w:numPr>
                <w:ilvl w:val="0"/>
                <w:numId w:val="15"/>
              </w:numPr>
              <w:spacing w:line="600" w:lineRule="auto"/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6E44E1E" w14:textId="1C80DEC5" w:rsidR="009C776E" w:rsidRPr="007A4F62" w:rsidRDefault="007F4969" w:rsidP="00A57BC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4969">
              <w:rPr>
                <w:rFonts w:ascii="Times New Roman" w:hAnsi="Times New Roman" w:cs="Times New Roman"/>
              </w:rPr>
              <w:t>Мочевина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825231" w14:textId="77777777" w:rsidR="007F4969" w:rsidRDefault="007F4969" w:rsidP="007F4969"/>
          <w:p w14:paraId="74AE8D6A" w14:textId="77777777" w:rsidR="007F4969" w:rsidRDefault="007F4969" w:rsidP="007F4969">
            <w:r>
              <w:t xml:space="preserve">Диагностический реагент для количественного определения мочевины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 в сыворотке, моче или плазме на биохимическом анализаторе. </w:t>
            </w:r>
            <w:proofErr w:type="gramStart"/>
            <w:r>
              <w:t>Жидкий</w:t>
            </w:r>
            <w:proofErr w:type="gramEnd"/>
            <w:r>
              <w:t xml:space="preserve"> и готовый к использованию </w:t>
            </w:r>
            <w:proofErr w:type="spellStart"/>
            <w:r>
              <w:t>биреагент</w:t>
            </w:r>
            <w:proofErr w:type="spellEnd"/>
            <w:r>
              <w:t xml:space="preserve">, </w:t>
            </w:r>
            <w:proofErr w:type="spellStart"/>
            <w:r>
              <w:t>детекция</w:t>
            </w:r>
            <w:proofErr w:type="spellEnd"/>
            <w:r>
              <w:t xml:space="preserve">  кинетическим УФ-методом, </w:t>
            </w:r>
            <w:proofErr w:type="spellStart"/>
            <w:r>
              <w:t>Уреаза</w:t>
            </w:r>
            <w:proofErr w:type="spellEnd"/>
            <w:r>
              <w:t xml:space="preserve"> GLDH; для диагностики почечной дисфункции или обструкции мочевыводящих путей. Состав: R1- Буфер материалов рН 7.6 130.0 </w:t>
            </w:r>
            <w:proofErr w:type="spellStart"/>
            <w:r>
              <w:t>ммоль</w:t>
            </w:r>
            <w:proofErr w:type="spellEnd"/>
            <w:r>
              <w:t xml:space="preserve">/л, ADP 1.2 </w:t>
            </w:r>
            <w:proofErr w:type="spellStart"/>
            <w:r>
              <w:t>ммоль</w:t>
            </w:r>
            <w:proofErr w:type="spellEnd"/>
            <w:r>
              <w:t xml:space="preserve">/л, </w:t>
            </w:r>
            <w:proofErr w:type="spellStart"/>
            <w:r>
              <w:t>уреаза</w:t>
            </w:r>
            <w:proofErr w:type="spellEnd"/>
            <w:r>
              <w:t xml:space="preserve"> ≥ 8000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/л, GLDH ≥ 1500 </w:t>
            </w:r>
            <w:proofErr w:type="spellStart"/>
            <w:r>
              <w:t>ед</w:t>
            </w:r>
            <w:proofErr w:type="spellEnd"/>
            <w:r>
              <w:t xml:space="preserve">/л. R2 - Буфер материалов рН 10.2 100.0 </w:t>
            </w:r>
            <w:proofErr w:type="spellStart"/>
            <w:r>
              <w:t>ммоль</w:t>
            </w:r>
            <w:proofErr w:type="spellEnd"/>
            <w:r>
              <w:t>/л, Альфа-</w:t>
            </w:r>
            <w:proofErr w:type="spellStart"/>
            <w:r>
              <w:t>кетоглутарат</w:t>
            </w:r>
            <w:proofErr w:type="spellEnd"/>
            <w:r>
              <w:t xml:space="preserve"> 65,0 </w:t>
            </w:r>
            <w:proofErr w:type="spellStart"/>
            <w:r>
              <w:t>ммоль</w:t>
            </w:r>
            <w:proofErr w:type="spellEnd"/>
            <w:r>
              <w:t xml:space="preserve">/л, NADH 1.20 </w:t>
            </w:r>
            <w:proofErr w:type="spellStart"/>
            <w:r>
              <w:t>ммоль</w:t>
            </w:r>
            <w:proofErr w:type="spellEnd"/>
            <w:r>
              <w:t>/л. Хранение и стабильность:</w:t>
            </w:r>
          </w:p>
          <w:p w14:paraId="677420A7" w14:textId="77777777" w:rsidR="007F4969" w:rsidRDefault="007F4969" w:rsidP="007F4969">
            <w:r>
              <w:t>- Хранить при температуре 2-8°C.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 + R2): 20 дней при 2-8°C. Фасовка: R1 6х40мл+R2 6х10мл. Линейность: реакция является линейной до концентрации 200 мг/</w:t>
            </w:r>
            <w:proofErr w:type="spellStart"/>
            <w:r>
              <w:t>дл</w:t>
            </w:r>
            <w:proofErr w:type="spellEnd"/>
            <w:r>
              <w:t xml:space="preserve"> (33,3 </w:t>
            </w:r>
            <w:proofErr w:type="spellStart"/>
            <w:r>
              <w:t>ммоль</w:t>
            </w:r>
            <w:proofErr w:type="spellEnd"/>
            <w:r>
              <w:t>/л) диапазоном 4,9-200 мг/</w:t>
            </w:r>
            <w:proofErr w:type="spellStart"/>
            <w:r>
              <w:t>дл</w:t>
            </w:r>
            <w:proofErr w:type="spellEnd"/>
            <w:r>
              <w:t xml:space="preserve"> (0,81-33,3 </w:t>
            </w:r>
            <w:proofErr w:type="spellStart"/>
            <w:r>
              <w:t>ммоль</w:t>
            </w:r>
            <w:proofErr w:type="spellEnd"/>
            <w:r>
              <w:t xml:space="preserve">/л). Аналитическая </w:t>
            </w:r>
            <w:proofErr w:type="spellStart"/>
            <w:r>
              <w:t>чувствительность</w:t>
            </w:r>
            <w:proofErr w:type="gramStart"/>
            <w:r>
              <w:t>:ч</w:t>
            </w:r>
            <w:proofErr w:type="gramEnd"/>
            <w:r>
              <w:t>увствительность</w:t>
            </w:r>
            <w:proofErr w:type="spellEnd"/>
            <w:r>
              <w:t xml:space="preserve"> теста по пределу обнаружения составляет 3.0 мг/</w:t>
            </w:r>
            <w:proofErr w:type="spellStart"/>
            <w:r>
              <w:t>дл</w:t>
            </w:r>
            <w:proofErr w:type="spellEnd"/>
            <w:r>
              <w:t xml:space="preserve"> (0.50 </w:t>
            </w:r>
            <w:proofErr w:type="spellStart"/>
            <w:r>
              <w:t>ммоль</w:t>
            </w:r>
            <w:proofErr w:type="spellEnd"/>
            <w:r>
              <w:t xml:space="preserve">/л). </w:t>
            </w:r>
            <w:proofErr w:type="spellStart"/>
            <w:r>
              <w:t>Внутрианалитическая</w:t>
            </w:r>
            <w:proofErr w:type="spellEnd"/>
            <w:r>
              <w:t xml:space="preserve"> сходимость (</w:t>
            </w:r>
            <w:proofErr w:type="spellStart"/>
            <w:r>
              <w:t>межсерийная</w:t>
            </w:r>
            <w:proofErr w:type="spellEnd"/>
            <w:r>
              <w:t>): среднее значение (мг/</w:t>
            </w:r>
            <w:proofErr w:type="spellStart"/>
            <w:r>
              <w:t>дл</w:t>
            </w:r>
            <w:proofErr w:type="spellEnd"/>
            <w:r>
              <w:t xml:space="preserve">) N = 40,40 H = 150,95; S. D. N = 1,50 H = 2,18; К.В.% N = 3,70 H = 1,44. </w:t>
            </w:r>
            <w:proofErr w:type="spellStart"/>
            <w:r>
              <w:t>Внутрианалитическая</w:t>
            </w:r>
            <w:proofErr w:type="spellEnd"/>
            <w:r>
              <w:t xml:space="preserve"> сходимость (</w:t>
            </w:r>
            <w:proofErr w:type="spellStart"/>
            <w:r>
              <w:t>внутрисерийная</w:t>
            </w:r>
            <w:proofErr w:type="spellEnd"/>
            <w:r>
              <w:t>): Среднее значение (мг/</w:t>
            </w:r>
            <w:proofErr w:type="spellStart"/>
            <w:r>
              <w:t>дл</w:t>
            </w:r>
            <w:proofErr w:type="spellEnd"/>
            <w:r>
              <w:t xml:space="preserve">); N = 40,63 H = 152,05; S. D. N = 1.20 H = 2,46; К.В.% N = 2,95 H = 1,62. Соответствует Регламенту (ЕС) № 1272/2008 - CLP (и последующими поправками) и Директиве 88/379 / CEE. Фактор конверсии: мочевина [мг / </w:t>
            </w:r>
            <w:proofErr w:type="spellStart"/>
            <w:r>
              <w:t>дл</w:t>
            </w:r>
            <w:proofErr w:type="spellEnd"/>
            <w:r>
              <w:t>] x0,1665 = мочевина [</w:t>
            </w:r>
            <w:proofErr w:type="spellStart"/>
            <w:r>
              <w:t>ммоль</w:t>
            </w:r>
            <w:proofErr w:type="spellEnd"/>
            <w:r>
              <w:t xml:space="preserve"> / л]. Предел интерферирующих веществ: билирубин ≤ 20 мг / </w:t>
            </w:r>
            <w:proofErr w:type="spellStart"/>
            <w:r>
              <w:t>дл</w:t>
            </w:r>
            <w:proofErr w:type="spellEnd"/>
            <w:r>
              <w:t xml:space="preserve">; триглицериды ≤ 1000 мг / </w:t>
            </w:r>
            <w:proofErr w:type="spellStart"/>
            <w:r>
              <w:t>дл</w:t>
            </w:r>
            <w:proofErr w:type="spellEnd"/>
            <w:r>
              <w:t>; гемоглобин ≤ 100 мг / дл.</w:t>
            </w:r>
          </w:p>
          <w:p w14:paraId="6EC8FC34" w14:textId="6D159E53" w:rsidR="009C776E" w:rsidRDefault="007F4969" w:rsidP="007F4969">
            <w: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>
              <w:t>валидации</w:t>
            </w:r>
            <w:proofErr w:type="spellEnd"/>
            <w:r>
              <w:t xml:space="preserve"> калибровки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утвержденным</w:t>
            </w:r>
            <w:proofErr w:type="gramEnd"/>
            <w: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  <w:p w14:paraId="2F95DC4C" w14:textId="25CD7FB1" w:rsidR="00C51949" w:rsidRPr="007A4F62" w:rsidRDefault="00C51949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10BC7" w14:textId="7C41D402" w:rsidR="00C51949" w:rsidRPr="007A4F62" w:rsidRDefault="007F4969" w:rsidP="007F49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DA5AA" w14:textId="4103CCA0" w:rsidR="00C51949" w:rsidRPr="007A4F62" w:rsidRDefault="007F4969" w:rsidP="007F49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93277" w14:textId="19CEC7BC" w:rsidR="00C51949" w:rsidRPr="007F4969" w:rsidRDefault="007F4969" w:rsidP="007F4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79 155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41D28D" w14:textId="10AFC777" w:rsidR="00C51949" w:rsidRPr="007A4F62" w:rsidRDefault="007F4969" w:rsidP="007F49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1 029 015</w:t>
            </w:r>
          </w:p>
        </w:tc>
      </w:tr>
      <w:tr w:rsidR="00C51949" w:rsidRPr="007A4F62" w14:paraId="410F9A6E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CCB4014" w14:textId="77777777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C6610A3" w14:textId="16EEFBBE" w:rsidR="00C51949" w:rsidRPr="00AC18AD" w:rsidRDefault="006D75F6" w:rsidP="00A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F6">
              <w:rPr>
                <w:rFonts w:ascii="Times New Roman" w:hAnsi="Times New Roman" w:cs="Times New Roman"/>
              </w:rPr>
              <w:t xml:space="preserve">Общий билирубин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C5FFF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прямого билирубина </w:t>
            </w:r>
            <w:proofErr w:type="spellStart"/>
            <w:r w:rsidRPr="006D75F6">
              <w:rPr>
                <w:rFonts w:ascii="Times New Roman" w:hAnsi="Times New Roman" w:cs="Times New Roman"/>
              </w:rPr>
              <w:t>in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5F6">
              <w:rPr>
                <w:rFonts w:ascii="Times New Roman" w:hAnsi="Times New Roman" w:cs="Times New Roman"/>
              </w:rPr>
              <w:t>vitro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в сыворотке или плазме на биохимическом анализаторе. Жидкий и готовый к применению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, принцип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детекции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по  конечной точке колориметрическим методом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Йендрашик-Гроффе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модифицированным; в  диагностике и лечении различных заболеваний печени и нарушений </w:t>
            </w:r>
            <w:r w:rsidRPr="006D75F6">
              <w:rPr>
                <w:rFonts w:ascii="Times New Roman" w:hAnsi="Times New Roman" w:cs="Times New Roman"/>
              </w:rPr>
              <w:lastRenderedPageBreak/>
              <w:t xml:space="preserve">обмена веществ. Состав: R1 - Сульфаниловая кислота 22,0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консерванты и поверхностно-активные вещества, не являющиеся анионными. R2 - Нитрит натрия 0.35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/л. Хранение и стабильность:   </w:t>
            </w:r>
          </w:p>
          <w:p w14:paraId="0F7B7D27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- Хранить набор при 15-25°С. Не замораживать реагенты.</w:t>
            </w:r>
          </w:p>
          <w:p w14:paraId="0F7CE789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 R2): 14 дней при 2-8°C. Фасовка: R1 6х40мл+R2 6х10мл. Линейность: реакция является линейной в диапазоне концентраций от 0,04 до 10 мг/дл. Аналитическая чувствительность: чувствительность теста по пределу обнаружения составляет 0.04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>/л.</w:t>
            </w:r>
          </w:p>
          <w:p w14:paraId="45CB263F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  N = 0,82  H = 2,32; С.О.  N = 0,02  H = 0,06; К.В.%  N = 2,67  H = 2,62.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);  N = 0,82 H = 2,31; С.О.  N = 0,02 Н = 0,05; К.В.%  N = 2,69  Н = 1,96. Соответствует Регламенту (ЕС) № 1272/2008 - CLP (и последующими поправками) и Директиве 88/379 / CEE. Предел интерферирующих веществ: триглицериды ≤ 500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>; гемоглобин ≤ 200 мг / дл.</w:t>
            </w:r>
          </w:p>
          <w:p w14:paraId="32992118" w14:textId="1D871090" w:rsidR="00C51949" w:rsidRPr="00AC18AD" w:rsidRDefault="006D75F6" w:rsidP="006D75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F6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6D75F6">
              <w:rPr>
                <w:rFonts w:ascii="Times New Roman" w:hAnsi="Times New Roman" w:cs="Times New Roman"/>
              </w:rPr>
              <w:t>на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5F6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7746E" w14:textId="7AE7C192" w:rsidR="00C51949" w:rsidRPr="008D07F1" w:rsidRDefault="006D75F6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A6A37" w14:textId="10AEA78D" w:rsidR="00C51949" w:rsidRPr="007A4F62" w:rsidRDefault="006D75F6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99A0B" w14:textId="32E81103" w:rsidR="00C51949" w:rsidRPr="007A4F62" w:rsidRDefault="006D75F6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52 300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877E93" w14:textId="066EDB8E" w:rsidR="00C51949" w:rsidRPr="007A4F62" w:rsidRDefault="006D75F6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1 516 700</w:t>
            </w:r>
          </w:p>
        </w:tc>
      </w:tr>
      <w:tr w:rsidR="00C51949" w:rsidRPr="007A4F62" w14:paraId="0F0EB283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70FD3DB" w14:textId="77777777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9A37A2" w14:textId="77777777" w:rsidR="00A57BC2" w:rsidRDefault="006D75F6" w:rsidP="00A57BC2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Прямой</w:t>
            </w:r>
          </w:p>
          <w:p w14:paraId="253F5193" w14:textId="30552C7A" w:rsidR="00C51949" w:rsidRPr="007A4F62" w:rsidRDefault="006D75F6" w:rsidP="00A57B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F6">
              <w:rPr>
                <w:rFonts w:ascii="Times New Roman" w:hAnsi="Times New Roman" w:cs="Times New Roman"/>
              </w:rPr>
              <w:t xml:space="preserve">билирубин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6CB021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прямого билирубина </w:t>
            </w:r>
            <w:proofErr w:type="spellStart"/>
            <w:r w:rsidRPr="006D75F6">
              <w:rPr>
                <w:rFonts w:ascii="Times New Roman" w:hAnsi="Times New Roman" w:cs="Times New Roman"/>
              </w:rPr>
              <w:t>in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5F6">
              <w:rPr>
                <w:rFonts w:ascii="Times New Roman" w:hAnsi="Times New Roman" w:cs="Times New Roman"/>
              </w:rPr>
              <w:t>vitro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в сыворотке или плазме на биохимическом анализаторе. Жидкий и готовый к применению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, принцип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детекции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по  конечной точке колориметрическим методом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Йендрашик-Гроффе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модифицированным; в  диагностике и лечении различных заболеваний печени и нарушений обмена веществ. Состав: R1 - Сульфаниловая кислота 22,0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консерванты и поверхностно-активные вещества, не являющиеся анионными. R2 - Нитрит натрия 0.35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/л. Хранение и стабильность:   </w:t>
            </w:r>
          </w:p>
          <w:p w14:paraId="40AD88A7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- Хранить набор при 15-25°С. Не замораживать реагенты.</w:t>
            </w:r>
          </w:p>
          <w:p w14:paraId="5C603E04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 R2): 14 дней при 2-8°C. Фасовка: R1 6х40мл+R2 6х10мл. </w:t>
            </w:r>
            <w:r w:rsidRPr="006D75F6">
              <w:rPr>
                <w:rFonts w:ascii="Times New Roman" w:hAnsi="Times New Roman" w:cs="Times New Roman"/>
              </w:rPr>
              <w:lastRenderedPageBreak/>
              <w:t xml:space="preserve">Линейность: реакция является линейной в диапазоне концентраций от 0,04 до 10 мг/дл. Аналитическая чувствительность: чувствительность теста по пределу обнаружения составляет 0.04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>/л.</w:t>
            </w:r>
          </w:p>
          <w:p w14:paraId="73380700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  N = 0,82  H = 2,32; С.О.  N = 0,02  H = 0,06; К.В.%  N = 2,67  H = 2,62.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);  N = 0,82 H = 2,31; С.О.  N = 0,02 Н = 0,05; К.В.%  N = 2,69  Н = 1,96. Соответствует Регламенту (ЕС) № 1272/2008 - CLP (и последующими поправками) и Директиве 88/379 / CEE. Предел интерферирующих веществ: триглицериды ≤ 500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>; гемоглобин ≤ 200 мг / дл.</w:t>
            </w:r>
          </w:p>
          <w:p w14:paraId="09294627" w14:textId="47718C40" w:rsidR="00C51949" w:rsidRPr="00AC18AD" w:rsidRDefault="006D75F6" w:rsidP="006D75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5F6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6D75F6">
              <w:rPr>
                <w:rFonts w:ascii="Times New Roman" w:hAnsi="Times New Roman" w:cs="Times New Roman"/>
              </w:rPr>
              <w:t>на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5F6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002A" w14:textId="63A0F785" w:rsidR="00C51949" w:rsidRPr="007A4F62" w:rsidRDefault="006D75F6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4155D" w14:textId="4425D9C0" w:rsidR="00C51949" w:rsidRPr="007A4F62" w:rsidRDefault="006D75F6" w:rsidP="007A4F62">
            <w:pPr>
              <w:ind w:hanging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45CE9" w14:textId="531C756F" w:rsidR="00C51949" w:rsidRPr="007A4F62" w:rsidRDefault="006D75F6" w:rsidP="007A4F62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46 515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6D4577" w14:textId="48D61760" w:rsidR="00C51949" w:rsidRPr="007A4F62" w:rsidRDefault="006D75F6" w:rsidP="007A4F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697 725</w:t>
            </w:r>
          </w:p>
        </w:tc>
      </w:tr>
      <w:tr w:rsidR="006D75F6" w:rsidRPr="007A4F62" w14:paraId="40EDB74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245B641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76DCFFA" w14:textId="3C2C1F1D" w:rsidR="006D75F6" w:rsidRDefault="006D75F6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5F6">
              <w:rPr>
                <w:rFonts w:ascii="Times New Roman" w:hAnsi="Times New Roman" w:cs="Times New Roman"/>
              </w:rPr>
              <w:t>Аланинаминотрансфераза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(АЛТ)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73DAD8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аланинаминотрансферазы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D75F6">
              <w:rPr>
                <w:rFonts w:ascii="Times New Roman" w:hAnsi="Times New Roman" w:cs="Times New Roman"/>
              </w:rPr>
              <w:t>in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5F6">
              <w:rPr>
                <w:rFonts w:ascii="Times New Roman" w:hAnsi="Times New Roman" w:cs="Times New Roman"/>
              </w:rPr>
              <w:t>vitro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в сыворотке или плазме на биохимическом анализаторе. </w:t>
            </w:r>
            <w:proofErr w:type="gramStart"/>
            <w:r w:rsidRPr="006D75F6">
              <w:rPr>
                <w:rFonts w:ascii="Times New Roman" w:hAnsi="Times New Roman" w:cs="Times New Roman"/>
              </w:rPr>
              <w:t>Жидкий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и готовый к использованию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6D75F6">
              <w:rPr>
                <w:rFonts w:ascii="Times New Roman" w:hAnsi="Times New Roman" w:cs="Times New Roman"/>
              </w:rPr>
              <w:t>, определение кинетическим УФ-оптимизированным методом IFCC; для диагностики и лечения некоторых видов заболеваний печени и сердца.</w:t>
            </w:r>
          </w:p>
          <w:p w14:paraId="0E9F5050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Состав: R1- Буфер материалов рН 7.5 80.0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/л, L-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аланин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500.0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LDH ≥ 1500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 xml:space="preserve">/л; R2 - Буфер материалов рН 7.5 80.0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/л, альфа-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кетоглутарат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65.0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NADH ≥ 1.18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/л. Хранение и стабильность:   </w:t>
            </w:r>
          </w:p>
          <w:p w14:paraId="10D8B740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- Хранить при температуре 2-8°C. </w:t>
            </w:r>
          </w:p>
          <w:p w14:paraId="64FACFD7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</w:t>
            </w:r>
          </w:p>
          <w:p w14:paraId="050450C9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- Стабильность рабочего раствора (R1+ R2): 20 дней при 2-8°C.</w:t>
            </w:r>
          </w:p>
          <w:p w14:paraId="119BF528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Фасовка: R1 6х40мл+R2 6х10мл</w:t>
            </w:r>
          </w:p>
          <w:p w14:paraId="2718B39C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Аналитические характеристики. Линейность: реакция является линейной в диапазоне концентраций от 2,5 до 400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 xml:space="preserve">/л. Аналитическая чувствительность. Чувствительность теста по пределу обнаружения составляет 2,5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>/л.</w:t>
            </w:r>
          </w:p>
          <w:p w14:paraId="79AF245C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). Среднее значение (Ед./л) N = 41.15  H = 130,50; С.О. N = 1,53 H = 2,09; К.В.% N = 3,71 H = 1,60.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): среднее значение (Ед./л) N = 41,55 H = 131,65; С.О. N = 1,40  H = 2,35; К.В.% N = 3,36 H = 1,78. Соответствует Регламенту (ЕС) № 1272/2008 - CLP (и последующими </w:t>
            </w:r>
            <w:r w:rsidRPr="006D75F6">
              <w:rPr>
                <w:rFonts w:ascii="Times New Roman" w:hAnsi="Times New Roman" w:cs="Times New Roman"/>
              </w:rPr>
              <w:lastRenderedPageBreak/>
              <w:t xml:space="preserve">поправками) и Директиве 88/379 / CEE. Предел интерферирующих веществ: билирубин ≤30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; триглицериды ≤1000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; аскорбиновая кислота ≤ 25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гемолизированные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образцы не следует использовать для анализа.</w:t>
            </w:r>
          </w:p>
          <w:p w14:paraId="2AD08708" w14:textId="4F12E292" w:rsid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6D75F6">
              <w:rPr>
                <w:rFonts w:ascii="Times New Roman" w:hAnsi="Times New Roman" w:cs="Times New Roman"/>
              </w:rPr>
              <w:t>на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5F6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91640" w14:textId="1183A700" w:rsidR="006D75F6" w:rsidRDefault="006D75F6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74EA5" w14:textId="02AA74E2" w:rsidR="006D75F6" w:rsidRDefault="006D75F6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0EF07" w14:textId="6052B952" w:rsidR="006D75F6" w:rsidRDefault="006D75F6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57 531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6EA646" w14:textId="609C79F9" w:rsidR="006D75F6" w:rsidRDefault="006D75F6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747 903</w:t>
            </w:r>
          </w:p>
        </w:tc>
      </w:tr>
      <w:tr w:rsidR="006D75F6" w:rsidRPr="007A4F62" w14:paraId="167DDB4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66C9F34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02471A0" w14:textId="3A5FFF55" w:rsidR="006D75F6" w:rsidRDefault="006D75F6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5F6">
              <w:rPr>
                <w:rFonts w:ascii="Times New Roman" w:hAnsi="Times New Roman" w:cs="Times New Roman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(АСТ)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677C68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аспартатаминотрансферазы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5F6">
              <w:rPr>
                <w:rFonts w:ascii="Times New Roman" w:hAnsi="Times New Roman" w:cs="Times New Roman"/>
              </w:rPr>
              <w:t>in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5F6">
              <w:rPr>
                <w:rFonts w:ascii="Times New Roman" w:hAnsi="Times New Roman" w:cs="Times New Roman"/>
              </w:rPr>
              <w:t>vitro</w:t>
            </w:r>
            <w:proofErr w:type="spellEnd"/>
          </w:p>
          <w:p w14:paraId="251C722E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в сыворотке или плазме на биохимическом анализаторе. </w:t>
            </w:r>
            <w:proofErr w:type="gramStart"/>
            <w:r w:rsidRPr="006D75F6">
              <w:rPr>
                <w:rFonts w:ascii="Times New Roman" w:hAnsi="Times New Roman" w:cs="Times New Roman"/>
              </w:rPr>
              <w:t>Жидкий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и готовый к использованию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, определение кинетический УФ-оптимизированным методом IFCC; в диагностике и лечении некоторых видов заболеваний печени и сердца. Состав: R1 -  Буфер материалов рН 7.8 80.0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/л,  L-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аспартат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240.0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LDH  ≥ 1800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 xml:space="preserve">/л, MDH ≥ 800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/л; R2 –  Буфер материалов рН 7.8 80.0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/л, Альфа-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кетоглутарат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65,0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/л, NADH ≥ 1.18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/л;</w:t>
            </w:r>
          </w:p>
          <w:p w14:paraId="4F5524BA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Хранение и стабильность: </w:t>
            </w:r>
          </w:p>
          <w:p w14:paraId="106EE17E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- Хранить при температуре 2-8°C. </w:t>
            </w:r>
          </w:p>
          <w:p w14:paraId="08CD6429" w14:textId="77777777" w:rsidR="006D75F6" w:rsidRP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 R2): 20 дней при 2-8°C. Фасовка: R1 6х40мл+R2 6х10мл</w:t>
            </w:r>
            <w:proofErr w:type="gramStart"/>
            <w:r w:rsidRPr="006D75F6">
              <w:rPr>
                <w:rFonts w:ascii="Times New Roman" w:hAnsi="Times New Roman" w:cs="Times New Roman"/>
              </w:rPr>
              <w:t>.Р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еакция линейна до концентрации 400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r w:rsidRPr="006D75F6">
              <w:rPr>
                <w:rFonts w:ascii="Times New Roman" w:hAnsi="Times New Roman" w:cs="Times New Roman"/>
              </w:rPr>
              <w:t>/</w:t>
            </w:r>
            <w:proofErr w:type="spellStart"/>
            <w:r w:rsidRPr="006D75F6">
              <w:rPr>
                <w:rFonts w:ascii="Times New Roman" w:hAnsi="Times New Roman" w:cs="Times New Roman"/>
              </w:rPr>
              <w:t>л.Чувствительность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теста по пределу обнаружения составляет 2.4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/л.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 w:rsidRPr="006D75F6">
              <w:rPr>
                <w:rFonts w:ascii="Times New Roman" w:hAnsi="Times New Roman" w:cs="Times New Roman"/>
              </w:rPr>
              <w:t>cреднее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значение (Ед./л); N = 39,70 H = 130,35; D.S. N = 1,45 H = 2,17; К.В.% N = 3,66 H = 1,67.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c</w:t>
            </w:r>
            <w:proofErr w:type="gramEnd"/>
            <w:r w:rsidRPr="006D75F6">
              <w:rPr>
                <w:rFonts w:ascii="Times New Roman" w:hAnsi="Times New Roman" w:cs="Times New Roman"/>
              </w:rPr>
              <w:t>реднее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значение (Ед./л); N = 41.32 H= 131.63; D.S. N = 1,34 H = 2,17</w:t>
            </w:r>
            <w:proofErr w:type="gramStart"/>
            <w:r w:rsidRPr="006D75F6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К.В.% N = 3,25 H = 1,63. Соответствует Регламенту (ЕС) № 1272/2008 - CLP (и последующими поправками) и Директиве 88/379 / CEE. Предел интерферирующих веществ: билирубин ≤30 мг / д; триглицериды ≤1000 мг /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дл</w:t>
            </w:r>
            <w:proofErr w:type="spellEnd"/>
            <w:r w:rsidRPr="006D75F6">
              <w:rPr>
                <w:rFonts w:ascii="Times New Roman" w:hAnsi="Times New Roman" w:cs="Times New Roman"/>
              </w:rPr>
              <w:t>; аскорбиновая кислота ≤ 25 мг / дл.</w:t>
            </w:r>
          </w:p>
          <w:p w14:paraId="1127B18A" w14:textId="4A883403" w:rsidR="006D75F6" w:rsidRDefault="006D75F6" w:rsidP="006D75F6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6D75F6">
              <w:rPr>
                <w:rFonts w:ascii="Times New Roman" w:hAnsi="Times New Roman" w:cs="Times New Roman"/>
              </w:rPr>
              <w:t>на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5F6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2A745" w14:textId="7E537568" w:rsidR="006D75F6" w:rsidRDefault="006D75F6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7C363" w14:textId="62CC1D47" w:rsidR="006D75F6" w:rsidRDefault="006D75F6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774C" w14:textId="4B8C086E" w:rsidR="006D75F6" w:rsidRDefault="006D75F6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73 443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505948" w14:textId="562C436B" w:rsidR="006D75F6" w:rsidRDefault="006D75F6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954 759</w:t>
            </w:r>
          </w:p>
        </w:tc>
      </w:tr>
      <w:tr w:rsidR="006D75F6" w:rsidRPr="007A4F62" w14:paraId="36C24736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53890F2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61D88A8" w14:textId="075093DC" w:rsidR="006D75F6" w:rsidRDefault="006D75F6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Щелочная фосфатаза</w:t>
            </w:r>
            <w:r w:rsidR="00A57B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1053E6" w14:textId="4B822A2E" w:rsidR="006D75F6" w:rsidRDefault="006D75F6" w:rsidP="007A4F62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 xml:space="preserve">Набор для измерения щелочной фосфатазы в сыворотке или плазме. Кинетический анализ. Измерения щелочной фосфатазы используются при диагностике и лечении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гепатобилиарной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и костной патологии. Принцип измерения: щелочная фосфатаза (ALP) катализирует гидролиз в щелочной среде п-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нитрофенилфосфата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в п-нитрофенол и фосфат. Темпы увеличения поглощения за счет образования п-нитрофенола прямо </w:t>
            </w:r>
            <w:proofErr w:type="gramStart"/>
            <w:r w:rsidRPr="006D75F6">
              <w:rPr>
                <w:rFonts w:ascii="Times New Roman" w:hAnsi="Times New Roman" w:cs="Times New Roman"/>
              </w:rPr>
              <w:t>пропорциональна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 активности ALP образца. Состав: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диэтаноламиновый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буфер рН 9.8 3.5 моль/</w:t>
            </w:r>
            <w:proofErr w:type="gramStart"/>
            <w:r w:rsidRPr="006D75F6">
              <w:rPr>
                <w:rFonts w:ascii="Times New Roman" w:hAnsi="Times New Roman" w:cs="Times New Roman"/>
              </w:rPr>
              <w:t>л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, хлорид магния 1.0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>/л, п-</w:t>
            </w:r>
            <w:proofErr w:type="spellStart"/>
            <w:r w:rsidRPr="006D75F6">
              <w:rPr>
                <w:rFonts w:ascii="Times New Roman" w:hAnsi="Times New Roman" w:cs="Times New Roman"/>
              </w:rPr>
              <w:t>нитрофенилфосфат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45.0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/л. Условия хранения: хранить при температуре 2-8°C.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 R2): 20 дней при 2-8°C. Реакция является линейной в диапазоне концентраций от 9,80 до 1600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r w:rsidRPr="006D75F6">
              <w:rPr>
                <w:rFonts w:ascii="Times New Roman" w:hAnsi="Times New Roman" w:cs="Times New Roman"/>
              </w:rPr>
              <w:t>/л. Рабочие характеристики реагента связаны с 37</w:t>
            </w:r>
            <w:proofErr w:type="gramStart"/>
            <w:r w:rsidRPr="006D75F6">
              <w:rPr>
                <w:rFonts w:ascii="Times New Roman" w:hAnsi="Times New Roman" w:cs="Times New Roman"/>
              </w:rPr>
              <w:t>°С</w:t>
            </w:r>
            <w:proofErr w:type="gramEnd"/>
            <w:r w:rsidRPr="006D75F6">
              <w:rPr>
                <w:rFonts w:ascii="Times New Roman" w:hAnsi="Times New Roman" w:cs="Times New Roman"/>
              </w:rPr>
              <w:t xml:space="preserve">, 1 см и 405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нм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. Аналитическая чувствительность: 9,80 </w:t>
            </w:r>
            <w:proofErr w:type="spellStart"/>
            <w:proofErr w:type="gramStart"/>
            <w:r w:rsidRPr="006D75F6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6D75F6">
              <w:rPr>
                <w:rFonts w:ascii="Times New Roman" w:hAnsi="Times New Roman" w:cs="Times New Roman"/>
              </w:rPr>
              <w:t xml:space="preserve">/л.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6D75F6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6D75F6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F613E" w14:textId="5B990D83" w:rsidR="006D75F6" w:rsidRDefault="006D75F6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25453" w14:textId="19A83C86" w:rsidR="006D75F6" w:rsidRDefault="006D75F6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9D4F5" w14:textId="6626A3AA" w:rsidR="006D75F6" w:rsidRDefault="006D75F6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50 853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18BAEEC" w14:textId="205A3A5B" w:rsidR="006D75F6" w:rsidRDefault="006D75F6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406 824</w:t>
            </w:r>
          </w:p>
        </w:tc>
      </w:tr>
      <w:tr w:rsidR="006D75F6" w:rsidRPr="007A4F62" w14:paraId="6B1B15EF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6151D63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152A0B" w14:textId="0EF07C35" w:rsidR="006D75F6" w:rsidRDefault="006D75F6" w:rsidP="00AC18AD">
            <w:pPr>
              <w:jc w:val="center"/>
              <w:rPr>
                <w:rFonts w:ascii="Times New Roman" w:hAnsi="Times New Roman" w:cs="Times New Roman"/>
              </w:rPr>
            </w:pPr>
            <w:r w:rsidRPr="006D75F6">
              <w:rPr>
                <w:rFonts w:ascii="Times New Roman" w:hAnsi="Times New Roman" w:cs="Times New Roman"/>
              </w:rPr>
              <w:t>Общий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75F6">
              <w:rPr>
                <w:rFonts w:ascii="Times New Roman" w:hAnsi="Times New Roman" w:cs="Times New Roman"/>
              </w:rPr>
              <w:t>белок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4A4944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 общего белка  </w:t>
            </w:r>
            <w:proofErr w:type="spellStart"/>
            <w:r w:rsidRPr="00A57BC2">
              <w:rPr>
                <w:rFonts w:ascii="Times New Roman" w:hAnsi="Times New Roman" w:cs="Times New Roman"/>
              </w:rPr>
              <w:t>in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BC2">
              <w:rPr>
                <w:rFonts w:ascii="Times New Roman" w:hAnsi="Times New Roman" w:cs="Times New Roman"/>
              </w:rPr>
              <w:t>vitro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в сыворотке, моче или плазме на биохимическом анализаторе. Жидкий и готовый к использованию реагент,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биуретическим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методом; для диагностики и лечения различных заболеваний печени и почек, а также нарушений обмена веществ и питания. Состав:</w:t>
            </w:r>
          </w:p>
          <w:p w14:paraId="00E9692F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R1- гидроксид натрия 350,0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/л, виннокислый калий-натрий 20,0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/л, йодистый калий 5,2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/л, сульфат меди 4,8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>/л. Хранение и стабильность:</w:t>
            </w:r>
          </w:p>
          <w:p w14:paraId="1574DB63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- Реагент R1 может храниться при температуре 15 - 25°С.</w:t>
            </w:r>
          </w:p>
          <w:p w14:paraId="3F1117FE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- После вскрытия флаконы R1 стабильны до истечения срока годности, если их сразу же закупорить. Фасовка: 6х50мл</w:t>
            </w:r>
          </w:p>
          <w:p w14:paraId="0DD24501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Линейность: реакция является линейной до концентрации 10 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в диапазоне 0,3-10 г/дл. Аналитическая чувствительность: чувствительность теста по пределу обнаружения составляет 0,5 г/дл.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proofErr w:type="gramStart"/>
            <w:r w:rsidRPr="00A57BC2">
              <w:rPr>
                <w:rFonts w:ascii="Times New Roman" w:hAnsi="Times New Roman" w:cs="Times New Roman"/>
              </w:rPr>
              <w:t>c</w:t>
            </w:r>
            <w:proofErr w:type="gramEnd"/>
            <w:r w:rsidRPr="00A57BC2">
              <w:rPr>
                <w:rFonts w:ascii="Times New Roman" w:hAnsi="Times New Roman" w:cs="Times New Roman"/>
              </w:rPr>
              <w:t>реднее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значение (мг/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 N = 5,05 H = 5.23; С.О. N = 0,15 H = 0,16; К.В.% N = 2,97 H = 3,08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): Среднее значение </w:t>
            </w:r>
            <w:r w:rsidRPr="00A57BC2">
              <w:rPr>
                <w:rFonts w:ascii="Times New Roman" w:hAnsi="Times New Roman" w:cs="Times New Roman"/>
              </w:rPr>
              <w:lastRenderedPageBreak/>
              <w:t>(мг/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); N = 5.15 P = 5.24; С.О. N = 0,18 P = 0,21; К.В.% N = 3,41 P = 3,92. Соответствует Регламенту (ЕС) № 1272/2008 - CLP (и последующими поправками) и Директиве 88/379 / CEE.  Предел интерферирующих веществ: билирубин ≤ 30 мг /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>; гемоглобин ≤ 500 мкг / дл.</w:t>
            </w:r>
          </w:p>
          <w:p w14:paraId="1DFAC1FD" w14:textId="56ADEB5D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0C028" w14:textId="7A936CCE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88FAE" w14:textId="04C21666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CD530" w14:textId="24E1E866" w:rsidR="006D75F6" w:rsidRDefault="00A57BC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30 602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10B5726" w14:textId="099D6461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397 826</w:t>
            </w:r>
          </w:p>
        </w:tc>
      </w:tr>
      <w:tr w:rsidR="006D75F6" w:rsidRPr="007A4F62" w14:paraId="1460BB18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C808C2B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8E3FF7" w14:textId="73AE60B3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льбумин</w:t>
            </w:r>
            <w: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6F86C8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альбумина </w:t>
            </w:r>
            <w:proofErr w:type="spellStart"/>
            <w:r w:rsidRPr="00A57BC2">
              <w:rPr>
                <w:rFonts w:ascii="Times New Roman" w:hAnsi="Times New Roman" w:cs="Times New Roman"/>
              </w:rPr>
              <w:t>in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BC2">
              <w:rPr>
                <w:rFonts w:ascii="Times New Roman" w:hAnsi="Times New Roman" w:cs="Times New Roman"/>
              </w:rPr>
              <w:t>vitro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в сыворотке или плазме. Реагент стабилен до конца указанного месяца. </w:t>
            </w:r>
            <w:proofErr w:type="gramStart"/>
            <w:r w:rsidRPr="00A57BC2">
              <w:rPr>
                <w:rFonts w:ascii="Times New Roman" w:hAnsi="Times New Roman" w:cs="Times New Roman"/>
              </w:rPr>
              <w:t>Срок годности при хранении при 2-25 ° C, в защищенном от света и загрязнения.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Фактор конверсии: альбумин [</w:t>
            </w:r>
            <w:proofErr w:type="gramStart"/>
            <w:r w:rsidRPr="00A57BC2">
              <w:rPr>
                <w:rFonts w:ascii="Times New Roman" w:hAnsi="Times New Roman" w:cs="Times New Roman"/>
              </w:rPr>
              <w:t>г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>] x 144,9 = альбумин (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>/л).</w:t>
            </w:r>
          </w:p>
          <w:p w14:paraId="4E9278DA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Фасовка: 6х20мл.</w:t>
            </w:r>
          </w:p>
          <w:p w14:paraId="5E38A166" w14:textId="643326FF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4A883" w14:textId="4C3F34E5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176FF" w14:textId="2FDD02BE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EBA1A" w14:textId="585A6C16" w:rsidR="006D75F6" w:rsidRDefault="00A57BC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30 973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064A65" w14:textId="1FF16581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371 676</w:t>
            </w:r>
          </w:p>
        </w:tc>
      </w:tr>
      <w:tr w:rsidR="006D75F6" w:rsidRPr="007A4F62" w14:paraId="37841C1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C5CE1A8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49D016" w14:textId="4A7CE6B2" w:rsidR="006D75F6" w:rsidRDefault="00A57BC2" w:rsidP="00AC18AD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Холестерин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CDA380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Набор для измерения холестерина в сыворотке или плазме. Ферментативный колориметрический метод количественного определения холестерина. R1 Буфер материала рН 6.8 100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A57BC2">
              <w:rPr>
                <w:rFonts w:ascii="Times New Roman" w:hAnsi="Times New Roman" w:cs="Times New Roman"/>
              </w:rPr>
              <w:t>эстераза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холестерина - 500 </w:t>
            </w:r>
            <w:proofErr w:type="spellStart"/>
            <w:proofErr w:type="gram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57BC2">
              <w:rPr>
                <w:rFonts w:ascii="Times New Roman" w:hAnsi="Times New Roman" w:cs="Times New Roman"/>
              </w:rPr>
              <w:t xml:space="preserve">/л; оксидаза холестерина - 800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фенол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- 2500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4-аминофеназон -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/л. </w:t>
            </w:r>
          </w:p>
          <w:p w14:paraId="1C0646D6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Хранить при температуре 2-8°C. После вскрытия флаконы R1 стабильны в течение 90 дней</w:t>
            </w:r>
            <w:proofErr w:type="gramStart"/>
            <w:r w:rsidRPr="00A57BC2">
              <w:rPr>
                <w:rFonts w:ascii="Times New Roman" w:hAnsi="Times New Roman" w:cs="Times New Roman"/>
              </w:rPr>
              <w:t>.Ф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асовка:6х50мл.Чувствительность теста по пределу обнаружения составляет 2,80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r w:rsidRPr="00A57BC2">
              <w:rPr>
                <w:rFonts w:ascii="Times New Roman" w:hAnsi="Times New Roman" w:cs="Times New Roman"/>
              </w:rPr>
              <w:t>/л.</w:t>
            </w:r>
          </w:p>
          <w:p w14:paraId="04C09E9B" w14:textId="37D8316C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16624" w14:textId="5D6A76E7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85802" w14:textId="5860566E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511FA" w14:textId="02E0A3FD" w:rsidR="006D75F6" w:rsidRDefault="00A57BC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51 001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2F8814" w14:textId="7EFFD535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255 005</w:t>
            </w:r>
          </w:p>
        </w:tc>
      </w:tr>
      <w:tr w:rsidR="006D75F6" w:rsidRPr="007A4F62" w14:paraId="256D743F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3460E47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19E9402" w14:textId="086CA411" w:rsidR="006D75F6" w:rsidRDefault="00A57BC2" w:rsidP="00AC18AD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Триглицериды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C66940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Набор для измерения триглицеридов в сыворотке или плазме. Ферментативный колориметрический метод GPO - PAP. Триглицериды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гидролизуются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в присутствии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липопротеинлипазы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(LPL) в </w:t>
            </w:r>
            <w:r w:rsidRPr="00A57BC2">
              <w:rPr>
                <w:rFonts w:ascii="Times New Roman" w:hAnsi="Times New Roman" w:cs="Times New Roman"/>
              </w:rPr>
              <w:lastRenderedPageBreak/>
              <w:t xml:space="preserve">жирную кислоту и глицерин, который с помощью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глицеролиназы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(GK), АТФ и глицерол-3-P-оксидазы (GPO) превращается в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диидроксиацетон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-фосфат и H2O2. Перекись водорода, катализируемая из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пероксидазы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(POD), реагирует с 4-аминофеназоном и 4- </w:t>
            </w:r>
            <w:proofErr w:type="spellStart"/>
            <w:r w:rsidRPr="00A57BC2">
              <w:rPr>
                <w:rFonts w:ascii="Times New Roman" w:hAnsi="Times New Roman" w:cs="Times New Roman"/>
              </w:rPr>
              <w:t>фенолхлоридом</w:t>
            </w:r>
            <w:proofErr w:type="spellEnd"/>
            <w:r w:rsidRPr="00A57BC2">
              <w:rPr>
                <w:rFonts w:ascii="Times New Roman" w:hAnsi="Times New Roman" w:cs="Times New Roman"/>
              </w:rPr>
              <w:t>, образуя</w:t>
            </w:r>
          </w:p>
          <w:p w14:paraId="10C076C6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окрашенное соединение, интенсивность которого пропорциональна концентрации триглицеридов в образце. R1 - Буфер 100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фенол 16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липопротеинлипаза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³ 4000 </w:t>
            </w:r>
            <w:proofErr w:type="spellStart"/>
            <w:proofErr w:type="gram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57BC2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глицеролкиназа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³ 2000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пероксидаза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³ 2500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r w:rsidRPr="00A57BC2">
              <w:rPr>
                <w:rFonts w:ascii="Times New Roman" w:hAnsi="Times New Roman" w:cs="Times New Roman"/>
              </w:rPr>
              <w:t>/л; ATP</w:t>
            </w:r>
          </w:p>
          <w:p w14:paraId="42993817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4-аминофеназон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/л; глицерол-3-П-оксидаза ³ 2000 </w:t>
            </w:r>
            <w:proofErr w:type="spellStart"/>
            <w:proofErr w:type="gram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57BC2">
              <w:rPr>
                <w:rFonts w:ascii="Times New Roman" w:hAnsi="Times New Roman" w:cs="Times New Roman"/>
              </w:rPr>
              <w:t xml:space="preserve">/л. </w:t>
            </w:r>
          </w:p>
          <w:p w14:paraId="0B0990A4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Хранить при температуре 2-8°C.После вскрытия флаконы R1 стабильны в течение 90 дней</w:t>
            </w:r>
            <w:proofErr w:type="gramStart"/>
            <w:r w:rsidRPr="00A57BC2">
              <w:rPr>
                <w:rFonts w:ascii="Times New Roman" w:hAnsi="Times New Roman" w:cs="Times New Roman"/>
              </w:rPr>
              <w:t>.Ф</w:t>
            </w:r>
            <w:proofErr w:type="gramEnd"/>
            <w:r w:rsidRPr="00A57BC2">
              <w:rPr>
                <w:rFonts w:ascii="Times New Roman" w:hAnsi="Times New Roman" w:cs="Times New Roman"/>
              </w:rPr>
              <w:t>асовка:6х50мл.</w:t>
            </w:r>
          </w:p>
          <w:p w14:paraId="7BA0DEE0" w14:textId="08FEA598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32285" w14:textId="1187E637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03EED" w14:textId="259778B7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AF88B" w14:textId="3EFEC8D1" w:rsidR="006D75F6" w:rsidRDefault="00A57BC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91 802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3DBC4B" w14:textId="4F6AC694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275 406</w:t>
            </w:r>
          </w:p>
        </w:tc>
      </w:tr>
      <w:tr w:rsidR="006D75F6" w:rsidRPr="007A4F62" w14:paraId="7FDD6D38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29D9225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1FC7294" w14:textId="4EC95ABE" w:rsidR="006D75F6" w:rsidRDefault="00A57BC2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C2">
              <w:rPr>
                <w:rFonts w:ascii="Times New Roman" w:hAnsi="Times New Roman" w:cs="Times New Roman"/>
              </w:rPr>
              <w:t>Креатинин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923FE10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креатинина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BC2">
              <w:rPr>
                <w:rFonts w:ascii="Times New Roman" w:hAnsi="Times New Roman" w:cs="Times New Roman"/>
              </w:rPr>
              <w:t>in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BC2">
              <w:rPr>
                <w:rFonts w:ascii="Times New Roman" w:hAnsi="Times New Roman" w:cs="Times New Roman"/>
              </w:rPr>
              <w:t>vitro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в сыворотке, моче или плазме на биохимическом анализаторе. Жидкий и готовый к использованию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детекция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колориметрическим методом Яффе без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депротеинизации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; в диагностике и лечении почечных заболеваний и в мониторинге почечного диализа. Состав: R1-Гидроксид лития 120,0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/л, борная кислота 80,0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/л. R2-Пикриновая кислота 67.0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>/л. Хранение и стабильность:</w:t>
            </w:r>
          </w:p>
          <w:p w14:paraId="54D691A4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- Хранить при температуре 15-25°C</w:t>
            </w:r>
          </w:p>
          <w:p w14:paraId="469E14A6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- После вскрытия флаконы R1 и R2 стабильны в течение 90 дней, если их сразу же закрыть и защитить от загрязнения, испарения, прямого света и хранить при правильной температуре. Стабильность рабочего раствора (R1+R2): 7 дней при 15-25°С. Фасовка: R1 6х20мл+R2 6х20мл. Линейность: реакция является линейной для значений от 03 до 25 мг/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(27-2210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/л). Аналитическая чувствительность: чувствительность теста по пределу обнаружения составляет 0,3 </w:t>
            </w:r>
            <w:proofErr w:type="spellStart"/>
            <w:proofErr w:type="gramStart"/>
            <w:r w:rsidRPr="00A57BC2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57BC2">
              <w:rPr>
                <w:rFonts w:ascii="Times New Roman" w:hAnsi="Times New Roman" w:cs="Times New Roman"/>
              </w:rPr>
              <w:t>/л (27</w:t>
            </w:r>
          </w:p>
          <w:p w14:paraId="398AF680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C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/л). 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A57BC2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); N =1,15 H = 3,87; С.О. N =0,05 H = 0,13; К.В.% N = 4,6 H = 3,4.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A57BC2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); N = 1,15 H = 3,86; С.О. N = 0,05 H = 0,08; К.В.% N = 4.19 H = 2,02. Соответствует Регламенту (ЕС) № 1272/2008 - CLP (и последующими поправками) и Директиве 88/379 / CEE. Фактор конверсии: </w:t>
            </w:r>
            <w:proofErr w:type="spellStart"/>
            <w:r w:rsidRPr="00A57BC2">
              <w:rPr>
                <w:rFonts w:ascii="Times New Roman" w:hAnsi="Times New Roman" w:cs="Times New Roman"/>
              </w:rPr>
              <w:lastRenderedPageBreak/>
              <w:t>Креатинин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[мг /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] x 88,4 =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A57BC2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/ л]. Предел интерферирующих веществ: билирубин ≤ 15 мг /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; триглицериды ≤ 1500 мг /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дл</w:t>
            </w:r>
            <w:proofErr w:type="spellEnd"/>
            <w:r w:rsidRPr="00A57BC2">
              <w:rPr>
                <w:rFonts w:ascii="Times New Roman" w:hAnsi="Times New Roman" w:cs="Times New Roman"/>
              </w:rPr>
              <w:t>; гемоглобин ≤ 150 мг / дл.</w:t>
            </w:r>
          </w:p>
          <w:p w14:paraId="3CC46923" w14:textId="231F704E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24798" w14:textId="08243815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170EE" w14:textId="708825A3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624B6" w14:textId="3218DE45" w:rsidR="006D75F6" w:rsidRDefault="00A57BC2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50 743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4B5A8B" w14:textId="7F13C0DF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608 916</w:t>
            </w:r>
          </w:p>
        </w:tc>
      </w:tr>
      <w:tr w:rsidR="006D75F6" w:rsidRPr="007A4F62" w14:paraId="2055E3E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D05B35C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EBE992D" w14:textId="09099286" w:rsidR="006D75F6" w:rsidRDefault="00A57BC2" w:rsidP="00AC18AD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Альфа амилаза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B5F0A6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A57BC2">
              <w:rPr>
                <w:rFonts w:ascii="Times New Roman" w:hAnsi="Times New Roman" w:cs="Times New Roman"/>
              </w:rPr>
              <w:t>in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BC2">
              <w:rPr>
                <w:rFonts w:ascii="Times New Roman" w:hAnsi="Times New Roman" w:cs="Times New Roman"/>
              </w:rPr>
              <w:t>vitro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α-амилаза в сыворотке или плазме. Измерения активности амилазы используются для диагностики и лечения панкреатит. Кинетический анализ Амилаза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гидролизует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CNPG3 до полимеров глюкозы + 4-NP. </w:t>
            </w:r>
            <w:proofErr w:type="gramStart"/>
            <w:r w:rsidRPr="00A57BC2">
              <w:rPr>
                <w:rFonts w:ascii="Times New Roman" w:hAnsi="Times New Roman" w:cs="Times New Roman"/>
              </w:rPr>
              <w:t>В скорость увеличения абсорбции за счет п-нитрофенола пропорциональна</w:t>
            </w:r>
            <w:proofErr w:type="gramEnd"/>
          </w:p>
          <w:p w14:paraId="65DDD144" w14:textId="77777777" w:rsidR="00A57BC2" w:rsidRPr="00A57BC2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активность амилазы в образце. Стабильность реагента: 90 дней</w:t>
            </w:r>
            <w:proofErr w:type="gramStart"/>
            <w:r w:rsidRPr="00A57BC2">
              <w:rPr>
                <w:rFonts w:ascii="Times New Roman" w:hAnsi="Times New Roman" w:cs="Times New Roman"/>
              </w:rPr>
              <w:t>.Ф</w:t>
            </w:r>
            <w:proofErr w:type="gramEnd"/>
            <w:r w:rsidRPr="00A57BC2">
              <w:rPr>
                <w:rFonts w:ascii="Times New Roman" w:hAnsi="Times New Roman" w:cs="Times New Roman"/>
              </w:rPr>
              <w:t>асовка:6х10мл.</w:t>
            </w:r>
          </w:p>
          <w:p w14:paraId="01073B81" w14:textId="09B20A0E" w:rsidR="006D75F6" w:rsidRDefault="00A57BC2" w:rsidP="00A57BC2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A57BC2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A57BC2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A57BC2">
              <w:rPr>
                <w:rFonts w:ascii="Times New Roman" w:hAnsi="Times New Roman" w:cs="Times New Roman"/>
              </w:rPr>
              <w:t>на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7BC2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A57BC2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26369" w14:textId="6F0CC294" w:rsidR="006D75F6" w:rsidRDefault="00A57BC2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C78AD" w14:textId="57918AF8" w:rsidR="006D75F6" w:rsidRDefault="00A57BC2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E7FC4" w14:textId="64C11F37" w:rsidR="006D75F6" w:rsidRDefault="00A57BC2" w:rsidP="00A57BC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78 487 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186E8E" w14:textId="73B0E7FF" w:rsidR="006D75F6" w:rsidRDefault="00A57BC2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784 870</w:t>
            </w:r>
          </w:p>
        </w:tc>
      </w:tr>
      <w:tr w:rsidR="006D75F6" w:rsidRPr="007A4F62" w14:paraId="610B108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62EE312" w14:textId="77777777" w:rsidR="006D75F6" w:rsidRPr="007A4F62" w:rsidRDefault="006D75F6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662890" w14:textId="77777777" w:rsidR="004D5AC8" w:rsidRDefault="00A57BC2" w:rsidP="004D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7BC2">
              <w:rPr>
                <w:rFonts w:ascii="Times New Roman" w:hAnsi="Times New Roman" w:cs="Times New Roman"/>
              </w:rPr>
              <w:t>Арсеназо</w:t>
            </w:r>
            <w:proofErr w:type="spellEnd"/>
          </w:p>
          <w:p w14:paraId="0FC9F5D2" w14:textId="782F08BB" w:rsidR="006D75F6" w:rsidRDefault="00A57BC2" w:rsidP="004D5AC8">
            <w:pPr>
              <w:jc w:val="center"/>
              <w:rPr>
                <w:rFonts w:ascii="Times New Roman" w:hAnsi="Times New Roman" w:cs="Times New Roman"/>
              </w:rPr>
            </w:pPr>
            <w:r w:rsidRPr="00A57BC2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25C641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 кальция  </w:t>
            </w:r>
            <w:proofErr w:type="spellStart"/>
            <w:r w:rsidRPr="004D5AC8">
              <w:rPr>
                <w:rFonts w:ascii="Times New Roman" w:hAnsi="Times New Roman" w:cs="Times New Roman"/>
              </w:rPr>
              <w:t>in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AC8">
              <w:rPr>
                <w:rFonts w:ascii="Times New Roman" w:hAnsi="Times New Roman" w:cs="Times New Roman"/>
              </w:rPr>
              <w:t>vitro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в сыворотке, моче или плазме на биохимическом анализаторе. Принцип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детекции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конец точки. Жидкий и готовый к использованию реагент,  предназначен для диагностики и лечения заболеваний паращитовидной железы, различных костных заболеваний, хронических заболеваний почек, мочекаменной болезни и тетании (преходящих мышечных сокращений или спазмов). Состав: R1- Буфер материалов </w:t>
            </w:r>
            <w:proofErr w:type="spellStart"/>
            <w:r w:rsidRPr="004D5AC8">
              <w:rPr>
                <w:rFonts w:ascii="Times New Roman" w:hAnsi="Times New Roman" w:cs="Times New Roman"/>
              </w:rPr>
              <w:t>pH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6.8 100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Арсеназо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0,40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>/л.  Хранение и стабильность:</w:t>
            </w:r>
          </w:p>
          <w:p w14:paraId="1D336769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>-  Хранить при температуре 15-25°C.</w:t>
            </w:r>
          </w:p>
          <w:p w14:paraId="5812D8AC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-  После вскрытия флаконы R1 стабильны в течение 90 дней, если их сразу же закрыть и защитить от загрязнения, испарения, прямого света и хранить при правильной температуре. Фасовка: 6х50мл. Линейность: Реакция является линейной в диапазоне концентраций от 1,2 до 16 мг/дл. Аналитическая чувствительность: Чувствительность теста по пределу обнаружения составляет 1,2 мг/дл. Стабильность калибровки: 60 дней.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Внутрианалитическая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межсерийная</w:t>
            </w:r>
            <w:proofErr w:type="spellEnd"/>
            <w:r w:rsidRPr="004D5AC8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4D5AC8">
              <w:rPr>
                <w:rFonts w:ascii="Times New Roman" w:hAnsi="Times New Roman" w:cs="Times New Roman"/>
              </w:rPr>
              <w:t>дл</w:t>
            </w:r>
            <w:proofErr w:type="spellEnd"/>
            <w:r w:rsidRPr="004D5AC8">
              <w:rPr>
                <w:rFonts w:ascii="Times New Roman" w:hAnsi="Times New Roman" w:cs="Times New Roman"/>
              </w:rPr>
              <w:t>)  N = 8,89 H = 13,91; С.О.  N = 0,19  H = 0,26; К.В.%  N = 2,17  H = 1,89</w:t>
            </w:r>
          </w:p>
          <w:p w14:paraId="660F1ACB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AC8">
              <w:rPr>
                <w:rFonts w:ascii="Times New Roman" w:hAnsi="Times New Roman" w:cs="Times New Roman"/>
              </w:rPr>
              <w:lastRenderedPageBreak/>
              <w:t>Внутрианалитическая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сходимость (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внутрисерийная</w:t>
            </w:r>
            <w:proofErr w:type="spellEnd"/>
            <w:r w:rsidRPr="004D5AC8">
              <w:rPr>
                <w:rFonts w:ascii="Times New Roman" w:hAnsi="Times New Roman" w:cs="Times New Roman"/>
              </w:rPr>
              <w:t>): Среднее значение (мг/</w:t>
            </w:r>
            <w:proofErr w:type="spellStart"/>
            <w:r w:rsidRPr="004D5AC8">
              <w:rPr>
                <w:rFonts w:ascii="Times New Roman" w:hAnsi="Times New Roman" w:cs="Times New Roman"/>
              </w:rPr>
              <w:t>дл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)  N = 8,69 H = 13,93; С.О.  N = 0,20 Н = 0,29; К.В.%  N = 2,33  Н = 2,06. Соответствует Регламенту (ЕС) №1272/2008 - CLP и Директиве 88/379 / CEE. </w:t>
            </w:r>
          </w:p>
          <w:p w14:paraId="51E82951" w14:textId="6C83D58E" w:rsidR="006D75F6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4D5AC8">
              <w:rPr>
                <w:rFonts w:ascii="Times New Roman" w:hAnsi="Times New Roman" w:cs="Times New Roman"/>
              </w:rPr>
              <w:t>на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AC8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5F2D3" w14:textId="07BD66BF" w:rsidR="006D75F6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упаковка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15FCA" w14:textId="7CB8E40F" w:rsidR="006D75F6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4D21A" w14:textId="081B57BA" w:rsidR="006D75F6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33 978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7D03E5" w14:textId="1C011FBD" w:rsidR="006D75F6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135 912</w:t>
            </w:r>
          </w:p>
        </w:tc>
      </w:tr>
      <w:tr w:rsidR="00A57BC2" w:rsidRPr="007A4F62" w14:paraId="1F5DD4FD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660739C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3FF539" w14:textId="5C20AB41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AC8">
              <w:rPr>
                <w:rFonts w:ascii="Times New Roman" w:hAnsi="Times New Roman" w:cs="Times New Roman"/>
              </w:rPr>
              <w:t>Лактатдегидрогеназа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C66BFB6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лактатдегидрогеназы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(ЛДГ) </w:t>
            </w:r>
            <w:proofErr w:type="spellStart"/>
            <w:r w:rsidRPr="004D5AC8">
              <w:rPr>
                <w:rFonts w:ascii="Times New Roman" w:hAnsi="Times New Roman" w:cs="Times New Roman"/>
              </w:rPr>
              <w:t>in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AC8">
              <w:rPr>
                <w:rFonts w:ascii="Times New Roman" w:hAnsi="Times New Roman" w:cs="Times New Roman"/>
              </w:rPr>
              <w:t>vitro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в сыворотке или плазме. Измерения ЛДГ используются в диагностике и лечении заболеваний печени, таких как </w:t>
            </w:r>
            <w:proofErr w:type="gramStart"/>
            <w:r w:rsidRPr="004D5AC8">
              <w:rPr>
                <w:rFonts w:ascii="Times New Roman" w:hAnsi="Times New Roman" w:cs="Times New Roman"/>
              </w:rPr>
              <w:t>как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острый вирусный гепатит, цирроз и метастатическая карцинома, сердечные заболевания, такие как инфаркт миокарда, так и опухоли легких или почек. </w:t>
            </w:r>
          </w:p>
          <w:p w14:paraId="5CD56E80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AC8">
              <w:rPr>
                <w:rFonts w:ascii="Times New Roman" w:hAnsi="Times New Roman" w:cs="Times New Roman"/>
              </w:rPr>
              <w:t>Линейность</w:t>
            </w:r>
            <w:proofErr w:type="gramStart"/>
            <w:r w:rsidRPr="004D5AC8">
              <w:rPr>
                <w:rFonts w:ascii="Times New Roman" w:hAnsi="Times New Roman" w:cs="Times New Roman"/>
              </w:rPr>
              <w:t>:о</w:t>
            </w:r>
            <w:proofErr w:type="gramEnd"/>
            <w:r w:rsidRPr="004D5AC8">
              <w:rPr>
                <w:rFonts w:ascii="Times New Roman" w:hAnsi="Times New Roman" w:cs="Times New Roman"/>
              </w:rPr>
              <w:t>т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19 до 800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Ед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/л. Стабильность реагента: 90 дней при правильном хранении. Фасовка: R1 - 4х16мл+R2 - 4х4мл. </w:t>
            </w:r>
          </w:p>
          <w:p w14:paraId="79AF6578" w14:textId="02FD05FC" w:rsidR="00A57BC2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4D5AC8">
              <w:rPr>
                <w:rFonts w:ascii="Times New Roman" w:hAnsi="Times New Roman" w:cs="Times New Roman"/>
              </w:rPr>
              <w:t>на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AC8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49DA9" w14:textId="3FDB5416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139FA" w14:textId="5C35AB08" w:rsidR="00A57BC2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A2700" w14:textId="11EF36FD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51 336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871C85" w14:textId="211D3CA9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410 688</w:t>
            </w:r>
          </w:p>
        </w:tc>
      </w:tr>
      <w:tr w:rsidR="00A57BC2" w:rsidRPr="007A4F62" w14:paraId="0AAFCAC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97BE897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196C698" w14:textId="20CF1022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AC8">
              <w:rPr>
                <w:rFonts w:ascii="Times New Roman" w:hAnsi="Times New Roman" w:cs="Times New Roman"/>
              </w:rPr>
              <w:t>Креатинкиназа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BA79F94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Набор для количественного определения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креатинкиназы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MB  в сыворотке или плазме. Принцип измерения: Антитело </w:t>
            </w:r>
            <w:proofErr w:type="gramStart"/>
            <w:r w:rsidRPr="004D5AC8">
              <w:rPr>
                <w:rFonts w:ascii="Times New Roman" w:hAnsi="Times New Roman" w:cs="Times New Roman"/>
              </w:rPr>
              <w:t>к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анти- CK-M полностью ингибирует CK-MM и субъединицу (M) CK-MB. Затем активность не ингибированной субъединицы CK-B анализируют с помощью следующей серии реакций: </w:t>
            </w:r>
            <w:proofErr w:type="spellStart"/>
            <w:r w:rsidRPr="004D5AC8">
              <w:rPr>
                <w:rFonts w:ascii="Times New Roman" w:hAnsi="Times New Roman" w:cs="Times New Roman"/>
              </w:rPr>
              <w:t>Фосфокреатин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+ АДФ Креатин + АТФ; АТФ + глюкоза АДФ + глюкозо-6-фосфат; G6P + NADP+ 6-фосфоглюконат + NADPH + H+. </w:t>
            </w:r>
          </w:p>
          <w:p w14:paraId="08A1A272" w14:textId="77777777" w:rsidR="004D5AC8" w:rsidRPr="004D5AC8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Скорость образования NADPH, измеренная </w:t>
            </w:r>
            <w:proofErr w:type="spellStart"/>
            <w:r w:rsidRPr="004D5AC8">
              <w:rPr>
                <w:rFonts w:ascii="Times New Roman" w:hAnsi="Times New Roman" w:cs="Times New Roman"/>
              </w:rPr>
              <w:t>фотометрически</w:t>
            </w:r>
            <w:proofErr w:type="spellEnd"/>
            <w:r w:rsidRPr="004D5AC8">
              <w:rPr>
                <w:rFonts w:ascii="Times New Roman" w:hAnsi="Times New Roman" w:cs="Times New Roman"/>
              </w:rPr>
              <w:t>, пропорциональна каталитической концентрации CK-B, присутствующей в образце. CK-MB - это фермент, образующийся в результате объединения двух субъединиц из мышечных (M) и нервных клеток (B). CK-MB обычно присутствует в сыворотке крови в низкой концентрации; он повышается после острого инфаркта миокарда и позже снижается до нормального уровня. Также повышается, редко, при повреждении скелетных мышц 5,6.</w:t>
            </w:r>
          </w:p>
          <w:p w14:paraId="104D719D" w14:textId="3BE1B34D" w:rsidR="00A57BC2" w:rsidRDefault="004D5AC8" w:rsidP="004D5AC8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Клинический диагноз не должен ставиться на </w:t>
            </w:r>
            <w:r w:rsidRPr="004D5AC8">
              <w:rPr>
                <w:rFonts w:ascii="Times New Roman" w:hAnsi="Times New Roman" w:cs="Times New Roman"/>
              </w:rPr>
              <w:lastRenderedPageBreak/>
              <w:t xml:space="preserve">основании одного результата теста; он должен включать клинические и другие лабораторные данные. Состав реагента R1 (буфер): Имидазол рН 6,7 - 100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глюкоза 20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ацетат магния 10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ЭДТА 2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/л. Состав реагента R2 (Анти CK-M): </w:t>
            </w:r>
            <w:proofErr w:type="spellStart"/>
            <w:r w:rsidRPr="004D5AC8">
              <w:rPr>
                <w:rFonts w:ascii="Times New Roman" w:hAnsi="Times New Roman" w:cs="Times New Roman"/>
              </w:rPr>
              <w:t>Anti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CK-M 2000 </w:t>
            </w:r>
            <w:proofErr w:type="spellStart"/>
            <w:proofErr w:type="gramStart"/>
            <w:r w:rsidRPr="004D5AC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4D5AC8">
              <w:rPr>
                <w:rFonts w:ascii="Times New Roman" w:hAnsi="Times New Roman" w:cs="Times New Roman"/>
              </w:rPr>
              <w:t xml:space="preserve">/л, АДФ 2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AMP 5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диаденозин-5-пентафосфат 10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NADP+ 2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гексокиназа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(HK) 2500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Ед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глюкоза-6-фосфатдегидрогеназа 1500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Ед</w:t>
            </w:r>
            <w:proofErr w:type="spellEnd"/>
            <w:r w:rsidRPr="004D5AC8">
              <w:rPr>
                <w:rFonts w:ascii="Times New Roman" w:hAnsi="Times New Roman" w:cs="Times New Roman"/>
              </w:rPr>
              <w:t>/л, N-</w:t>
            </w:r>
            <w:proofErr w:type="spellStart"/>
            <w:r w:rsidRPr="004D5AC8">
              <w:rPr>
                <w:rFonts w:ascii="Times New Roman" w:hAnsi="Times New Roman" w:cs="Times New Roman"/>
              </w:rPr>
              <w:t>ацетилцистеин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/л,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креатининфосфат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/л. Линейность: 330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Ед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/л. Стабильность: 20 дней при температуре 2-8°C или 48 часов при температуре 15-25°C. Защищайте от света.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4D5AC8">
              <w:rPr>
                <w:rFonts w:ascii="Times New Roman" w:hAnsi="Times New Roman" w:cs="Times New Roman"/>
              </w:rPr>
              <w:t>на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AC8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C56F3" w14:textId="5CA85A2D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06F20" w14:textId="111FD446" w:rsidR="00A57BC2" w:rsidRDefault="004D5AC8" w:rsidP="004D5AC8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3DB5B" w14:textId="0D1F2B9E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116 692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E30125" w14:textId="00326639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1 516 996</w:t>
            </w:r>
          </w:p>
        </w:tc>
      </w:tr>
      <w:tr w:rsidR="00A57BC2" w:rsidRPr="007A4F62" w14:paraId="0EB11143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68A22DB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C68338E" w14:textId="0B2A0A2C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D5AC8">
              <w:rPr>
                <w:rFonts w:ascii="Times New Roman" w:hAnsi="Times New Roman" w:cs="Times New Roman"/>
              </w:rPr>
              <w:t xml:space="preserve">алибратор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Креатинкиназы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48E9C23" w14:textId="1EF1488F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Калибратор 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креатинкиназы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MB представляет собой человеческий препарат. Концентрация была скорректирована для широкого спектра автоматических анализаторов. Продукт предназначен для калибровки показателя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креатининкиназы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МВ. Условия хранения: не восстановленный калибратор стабилен до истечения срока годности при хранении 2-8°C. .Фасовка: 1х2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мл</w:t>
            </w:r>
            <w:proofErr w:type="gramStart"/>
            <w:r w:rsidRPr="004D5AC8">
              <w:rPr>
                <w:rFonts w:ascii="Times New Roman" w:hAnsi="Times New Roman" w:cs="Times New Roman"/>
              </w:rPr>
              <w:t>.Д</w:t>
            </w:r>
            <w:proofErr w:type="gramEnd"/>
            <w:r w:rsidRPr="004D5AC8">
              <w:rPr>
                <w:rFonts w:ascii="Times New Roman" w:hAnsi="Times New Roman" w:cs="Times New Roman"/>
              </w:rPr>
              <w:t>ля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8C47A" w14:textId="2979679F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66D64" w14:textId="31891827" w:rsidR="00A57BC2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F4C7A" w14:textId="73705E64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26 299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BA5B22C" w14:textId="38E21472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52 598</w:t>
            </w:r>
          </w:p>
        </w:tc>
      </w:tr>
      <w:tr w:rsidR="00A57BC2" w:rsidRPr="007A4F62" w14:paraId="6FD4EA64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FB05B08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BA14268" w14:textId="740981DE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D5AC8">
              <w:rPr>
                <w:rFonts w:ascii="Times New Roman" w:hAnsi="Times New Roman" w:cs="Times New Roman"/>
              </w:rPr>
              <w:t xml:space="preserve">онтроль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Креатинкиназы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47D7D67" w14:textId="12DFB91C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Проанализированный материал для контроля качества для мониторинга эффективности количественного определения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креатинкиназы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MB  в сыворотке или плазме в условиях </w:t>
            </w:r>
            <w:proofErr w:type="spellStart"/>
            <w:r w:rsidRPr="004D5AC8">
              <w:rPr>
                <w:rFonts w:ascii="Times New Roman" w:hAnsi="Times New Roman" w:cs="Times New Roman"/>
              </w:rPr>
              <w:t>in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AC8">
              <w:rPr>
                <w:rFonts w:ascii="Times New Roman" w:hAnsi="Times New Roman" w:cs="Times New Roman"/>
              </w:rPr>
              <w:t>vitro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. Концентрация биологического материала не превышает максимальное целевое значение концентрации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для конкретной партии. Хранение и стабильность: до восстановления, при хранении при 2-8°C, контрольный образец стабилен до истечения срока годности. Фасовка: LEV 1 + LEV 2 2 мл.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4D5AC8">
              <w:rPr>
                <w:rFonts w:ascii="Times New Roman" w:hAnsi="Times New Roman" w:cs="Times New Roman"/>
              </w:rPr>
              <w:t>на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AC8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</w:t>
            </w:r>
            <w:r w:rsidRPr="004D5AC8">
              <w:rPr>
                <w:rFonts w:ascii="Times New Roman" w:hAnsi="Times New Roman" w:cs="Times New Roman"/>
              </w:rPr>
              <w:lastRenderedPageBreak/>
              <w:t>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0A84A" w14:textId="01C570A1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510D9" w14:textId="0E7E797A" w:rsidR="00A57BC2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394F" w14:textId="2506FE83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49 222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777BCB" w14:textId="185EB31F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196 888</w:t>
            </w:r>
          </w:p>
        </w:tc>
      </w:tr>
      <w:tr w:rsidR="00A57BC2" w:rsidRPr="007A4F62" w14:paraId="1B10C506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84C9291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9F8B1C" w14:textId="76DF1C04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>Мочевая кислота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8811F" w14:textId="18C5C739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5AC8">
              <w:rPr>
                <w:rFonts w:ascii="Times New Roman" w:hAnsi="Times New Roman" w:cs="Times New Roman"/>
              </w:rPr>
              <w:t>Диагностический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для определения уровня мочевой кислоты в биологических жидкостях. Измерение мочевой кислоты используется для диагностики и лечения подагры и нарушение функции почек. Линейность от 3,5 до 1000 мг / дл. Стабильность реагента 90 дней при правильном хранении. Стабильность калибровки: 60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дней</w:t>
            </w:r>
            <w:proofErr w:type="gramStart"/>
            <w:r w:rsidRPr="004D5AC8">
              <w:rPr>
                <w:rFonts w:ascii="Times New Roman" w:hAnsi="Times New Roman" w:cs="Times New Roman"/>
              </w:rPr>
              <w:t>.Ф</w:t>
            </w:r>
            <w:proofErr w:type="gramEnd"/>
            <w:r w:rsidRPr="004D5AC8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4D5AC8">
              <w:rPr>
                <w:rFonts w:ascii="Times New Roman" w:hAnsi="Times New Roman" w:cs="Times New Roman"/>
              </w:rPr>
              <w:t>: R1 6х40мл+R2 6х10мл</w:t>
            </w:r>
            <w:proofErr w:type="gramStart"/>
            <w:r w:rsidRPr="004D5AC8">
              <w:rPr>
                <w:rFonts w:ascii="Times New Roman" w:hAnsi="Times New Roman" w:cs="Times New Roman"/>
              </w:rPr>
              <w:t>.Д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E54D5" w14:textId="76788895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94FAA" w14:textId="091CA2C9" w:rsidR="00A57BC2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EFF7" w14:textId="2A9DA6CD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63 724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CFD450" w14:textId="7D14DFA2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127 448</w:t>
            </w:r>
          </w:p>
        </w:tc>
      </w:tr>
      <w:tr w:rsidR="00A57BC2" w:rsidRPr="007A4F62" w14:paraId="01A48AA6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E167DB8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FE1C4AC" w14:textId="3C7E62C0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D5AC8">
              <w:rPr>
                <w:rFonts w:ascii="Times New Roman" w:hAnsi="Times New Roman" w:cs="Times New Roman"/>
              </w:rPr>
              <w:t xml:space="preserve">рямой высокочувствительный тест на определение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гемоглобин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42E99B" w14:textId="0A927BA6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 w:rsidRPr="004D5AC8">
              <w:rPr>
                <w:rFonts w:ascii="Times New Roman" w:hAnsi="Times New Roman" w:cs="Times New Roman"/>
              </w:rPr>
              <w:t xml:space="preserve">Для количественного определения гемоглобина в крови человека. Значения указывают на уровни глюкозы </w:t>
            </w:r>
            <w:proofErr w:type="gramStart"/>
            <w:r w:rsidRPr="004D5AC8">
              <w:rPr>
                <w:rFonts w:ascii="Times New Roman" w:hAnsi="Times New Roman" w:cs="Times New Roman"/>
              </w:rPr>
              <w:t>за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предшествующие 4-8 недель. Более высокое значение HbA1c указывает на плохой гликемический профиль. Этот метод использует взаимодействие антигена и антитела для непосредственного определить HbA1c в цельной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крови</w:t>
            </w:r>
            <w:proofErr w:type="gramStart"/>
            <w:r w:rsidRPr="004D5AC8">
              <w:rPr>
                <w:rFonts w:ascii="Times New Roman" w:hAnsi="Times New Roman" w:cs="Times New Roman"/>
              </w:rPr>
              <w:t>.Л</w:t>
            </w:r>
            <w:proofErr w:type="gramEnd"/>
            <w:r w:rsidRPr="004D5AC8">
              <w:rPr>
                <w:rFonts w:ascii="Times New Roman" w:hAnsi="Times New Roman" w:cs="Times New Roman"/>
              </w:rPr>
              <w:t>инейность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: от 2,0 до 16,0%. Стабильность реагента: 90 дней при правильном </w:t>
            </w:r>
            <w:proofErr w:type="spellStart"/>
            <w:r w:rsidRPr="004D5AC8">
              <w:rPr>
                <w:rFonts w:ascii="Times New Roman" w:hAnsi="Times New Roman" w:cs="Times New Roman"/>
              </w:rPr>
              <w:t>хранении.Фасовка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: R1 1х30мл+R2 1x10 мл.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4D5AC8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4D5AC8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4D5AC8">
              <w:rPr>
                <w:rFonts w:ascii="Times New Roman" w:hAnsi="Times New Roman" w:cs="Times New Roman"/>
              </w:rPr>
              <w:t>на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AC8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4D5AC8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A12D" w14:textId="309E4122" w:rsidR="00A57BC2" w:rsidRDefault="004D5AC8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BE1DD" w14:textId="4235872C" w:rsidR="00A57BC2" w:rsidRDefault="004D5AC8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49CB2" w14:textId="7FA98A60" w:rsidR="00A57BC2" w:rsidRDefault="004D5AC8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385 753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EC4876" w14:textId="7809D617" w:rsidR="00A57BC2" w:rsidRDefault="004D5AC8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1 543 012</w:t>
            </w:r>
          </w:p>
        </w:tc>
      </w:tr>
      <w:tr w:rsidR="00A57BC2" w:rsidRPr="007A4F62" w14:paraId="60C7895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192B94E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83F06AA" w14:textId="77777777" w:rsidR="00A57BC2" w:rsidRDefault="004D5AC8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Калибратор</w:t>
            </w:r>
          </w:p>
          <w:p w14:paraId="34DBBA15" w14:textId="5FE77FE9" w:rsidR="00E57905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гликогемоглобина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C7E7BD0" w14:textId="3FE66E9A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Набор калибраторов для использования в тестах для количественного определения гемоглобина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in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vitro.Представляет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собой набор из пяти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жидкостабильных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калибраторов с различными уровнями на основе материала крови человека (эритроцитов). Условия хранения: калибраторы в закрытом и открытом виде должны храниться в 2-8°C, в защищенном от света и тепла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месте</w:t>
            </w:r>
            <w:proofErr w:type="gramStart"/>
            <w:r w:rsidRPr="00E57905">
              <w:rPr>
                <w:rFonts w:ascii="Times New Roman" w:hAnsi="Times New Roman" w:cs="Times New Roman"/>
              </w:rPr>
              <w:t>.Ф</w:t>
            </w:r>
            <w:proofErr w:type="gramEnd"/>
            <w:r w:rsidRPr="00E57905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: 5х1мл.Для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0BFA4" w14:textId="062DED14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4D1C4" w14:textId="2AECD7A8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102838" w14:textId="5B1A1522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304 152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E3A1EB" w14:textId="12A98FAC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304 152</w:t>
            </w:r>
          </w:p>
        </w:tc>
      </w:tr>
      <w:tr w:rsidR="00A57BC2" w:rsidRPr="007A4F62" w14:paraId="2C80B861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6B86B99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04CA04" w14:textId="5DF8ECC4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57905">
              <w:rPr>
                <w:rFonts w:ascii="Times New Roman" w:hAnsi="Times New Roman" w:cs="Times New Roman"/>
              </w:rPr>
              <w:t xml:space="preserve">онтроль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гликогемоглобина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EC6B19F" w14:textId="21B7DDAC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Проанализированный контрольный материал для мониторинга эффективности количественного анализа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in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vitro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определения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гликированного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r w:rsidRPr="00E57905">
              <w:rPr>
                <w:rFonts w:ascii="Times New Roman" w:hAnsi="Times New Roman" w:cs="Times New Roman"/>
              </w:rPr>
              <w:lastRenderedPageBreak/>
              <w:t xml:space="preserve">гемоглобина. Это контроль, основанный на человеческой крови (эритроциты). Условия хранения: как неоткрытый, так и открытый элемент управления необходимо хранить в 2-8°C, в защищенном от света и тепла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месте</w:t>
            </w:r>
            <w:proofErr w:type="gramStart"/>
            <w:r w:rsidRPr="00E57905">
              <w:rPr>
                <w:rFonts w:ascii="Times New Roman" w:hAnsi="Times New Roman" w:cs="Times New Roman"/>
              </w:rPr>
              <w:t>.Ф</w:t>
            </w:r>
            <w:proofErr w:type="gramEnd"/>
            <w:r w:rsidRPr="00E57905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: 1 LOW + 1 HIGH х 1 мл.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E57905">
              <w:rPr>
                <w:rFonts w:ascii="Times New Roman" w:hAnsi="Times New Roman" w:cs="Times New Roman"/>
              </w:rPr>
              <w:t>на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905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92D7B" w14:textId="7EA6952C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27FF5" w14:textId="57B5A2B5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39D4A" w14:textId="6E2FDEFB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200 295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D5FE12" w14:textId="3D8A2C3C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400 590</w:t>
            </w:r>
          </w:p>
        </w:tc>
      </w:tr>
      <w:tr w:rsidR="00A57BC2" w:rsidRPr="007A4F62" w14:paraId="223EF7F1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58EFE23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9B8491F" w14:textId="1E8EE9D0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>Реагент для определения фосфора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D1324" w14:textId="77777777" w:rsidR="00E57905" w:rsidRPr="00E57905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Измерение уровня фосфора используются при диагностике и лечении заболеваний, характеризующихся более низкими и повышенными уровнями неорганического фосфора. Принцип измерения: анализ конечной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точки</w:t>
            </w:r>
            <w:proofErr w:type="gramStart"/>
            <w:r w:rsidRPr="00E57905">
              <w:rPr>
                <w:rFonts w:ascii="Times New Roman" w:hAnsi="Times New Roman" w:cs="Times New Roman"/>
              </w:rPr>
              <w:t>.Н</w:t>
            </w:r>
            <w:proofErr w:type="gramEnd"/>
            <w:r w:rsidRPr="00E57905">
              <w:rPr>
                <w:rFonts w:ascii="Times New Roman" w:hAnsi="Times New Roman" w:cs="Times New Roman"/>
              </w:rPr>
              <w:t>еорганический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фосфор вступает в реакцию в кислой среде с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молибдатом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аммония, образуя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фосфомолибдатный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комплекс.Увеличение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поглощения пропорционально концентрации неорганического фосфора в образце.</w:t>
            </w:r>
          </w:p>
          <w:p w14:paraId="5C440971" w14:textId="77777777" w:rsidR="00E57905" w:rsidRPr="00E57905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905">
              <w:rPr>
                <w:rFonts w:ascii="Times New Roman" w:hAnsi="Times New Roman" w:cs="Times New Roman"/>
              </w:rPr>
              <w:t>Состав</w:t>
            </w:r>
            <w:proofErr w:type="gramStart"/>
            <w:r w:rsidRPr="00E57905">
              <w:rPr>
                <w:rFonts w:ascii="Times New Roman" w:hAnsi="Times New Roman" w:cs="Times New Roman"/>
              </w:rPr>
              <w:t>:с</w:t>
            </w:r>
            <w:proofErr w:type="gramEnd"/>
            <w:r w:rsidRPr="00E57905">
              <w:rPr>
                <w:rFonts w:ascii="Times New Roman" w:hAnsi="Times New Roman" w:cs="Times New Roman"/>
              </w:rPr>
              <w:t>оляная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кислота 1,00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молибдат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аммония 0,70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поверхностно-активные вещества анионные и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полианионные</w:t>
            </w:r>
            <w:proofErr w:type="spellEnd"/>
            <w:r w:rsidRPr="00E57905">
              <w:rPr>
                <w:rFonts w:ascii="Times New Roman" w:hAnsi="Times New Roman" w:cs="Times New Roman"/>
              </w:rPr>
              <w:t>. Условия хранения: хранить набор при 15-25°C. После вскрытия флакон R1 стабилен в течение 90 дней. Диапазон измерения: 0,10-20,0 мг/дл. Фасовка:6х20мл.</w:t>
            </w:r>
          </w:p>
          <w:p w14:paraId="2DDA243F" w14:textId="392B2B30" w:rsidR="00A57BC2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E57905">
              <w:rPr>
                <w:rFonts w:ascii="Times New Roman" w:hAnsi="Times New Roman" w:cs="Times New Roman"/>
              </w:rPr>
              <w:t>на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905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D53A3" w14:textId="4824B152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E6A62" w14:textId="42B36B4F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40719" w14:textId="78288B57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28 562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C10739" w14:textId="46767A0C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28 562</w:t>
            </w:r>
          </w:p>
        </w:tc>
      </w:tr>
      <w:tr w:rsidR="00A57BC2" w:rsidRPr="007A4F62" w14:paraId="1F73E234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60E14D3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41E149" w14:textId="1ACFBB7B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>Хлорид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6C6019" w14:textId="3D60FB98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Набор для измерения содержания хлоридов в сыворотке, плазме и моче. Измерение содержания хлоридов используется при диагностике и лечении заболеваний, характеризующихся изменением содержания хлоридов в плазме крови, таких как метаболический ацидоз,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гиперкортикальный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гипертонус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и почечная недостаточность. Метод определения хлоридов основан на образовании окрашенного соединения между трехвалентным железом и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тиоцианат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-ионами, выделяющегося при реакции хлорида с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тиоцианатом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ртути. Результирующая интенсивность цвета пропорциональна концентрации хлора в образце. Состав: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тиоцианат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ртути 1,0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/л, нитрат железа 12,0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/л, азотная кислота 70,0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/л, нитрат ртути 0,20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/л. Реагенты являются жидкими и готовы к </w:t>
            </w:r>
            <w:r w:rsidRPr="00E57905">
              <w:rPr>
                <w:rFonts w:ascii="Times New Roman" w:hAnsi="Times New Roman" w:cs="Times New Roman"/>
              </w:rPr>
              <w:lastRenderedPageBreak/>
              <w:t xml:space="preserve">использованию. Условия хранения: хранить набор при температуре 15-25°C. После вскрытия флакон стабилен до 30 дней, если его немедленно закрыть и защитить от загрязнения, испарения, прямых солнечных лучей и хранить при правильной температуре. Реакция протекает линейно в диапазоне концентраций от 22 до 150  </w:t>
            </w:r>
            <w:proofErr w:type="spellStart"/>
            <w:proofErr w:type="gramStart"/>
            <w:r w:rsidRPr="00E57905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7905">
              <w:rPr>
                <w:rFonts w:ascii="Times New Roman" w:hAnsi="Times New Roman" w:cs="Times New Roman"/>
              </w:rPr>
              <w:t xml:space="preserve">/л. Аналитическая чувствительность: 22.0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Ед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/л. Фасовка: 6X20 мл.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E57905">
              <w:rPr>
                <w:rFonts w:ascii="Times New Roman" w:hAnsi="Times New Roman" w:cs="Times New Roman"/>
              </w:rPr>
              <w:t>на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905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F69DD" w14:textId="4CA0C6FE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0167" w14:textId="4EFED0C5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B9626" w14:textId="209BEEE2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25 188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6ABFF74" w14:textId="19281B5C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25 188</w:t>
            </w:r>
          </w:p>
        </w:tc>
      </w:tr>
      <w:tr w:rsidR="00A57BC2" w:rsidRPr="007A4F62" w14:paraId="61D65F22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A31CB7A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357E5F5" w14:textId="2F8FB706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>Реагент для определения магния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88BB1E" w14:textId="77777777" w:rsidR="00E57905" w:rsidRPr="00E57905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Количественное определение магния используется при диагностике и лечении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гипомагниемии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, которая обычно связана с такими заболеваниями, как столбняк, нарушение всасывания, хронический алкоголизм, острый панкреатит, и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гипермагниемии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, которая наблюдается при заболеваниях, вызванных обезвоживанием, диабетическим ацидозом и болезнью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Аддисона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. Принцип измерения: анализ конечной точки. Магний реагирует в щелочной среде с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ксилидиловым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синим, образуя комплекс </w:t>
            </w:r>
            <w:proofErr w:type="spellStart"/>
            <w:r w:rsidRPr="00E57905">
              <w:rPr>
                <w:rFonts w:ascii="Times New Roman" w:hAnsi="Times New Roman" w:cs="Times New Roman"/>
              </w:rPr>
              <w:t>Mg-Ксилидиловый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синий. Увеличение поглощения пропорционально концентрации магния в образце. </w:t>
            </w:r>
          </w:p>
          <w:p w14:paraId="227F1EC1" w14:textId="77777777" w:rsidR="00E57905" w:rsidRPr="00E57905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Состав: товарный буфер 175,0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карбонат калия 60,0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EGTA 0,04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ксилидиловый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синий 0,12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>/л. Условия хранения: хранить набор при 15-25°C. После вскрытия флакон R1 стабилен в течение 30 дней. Диапазон измерения: 0,08-10,00 мг/дл. Фасовка:6х20мл.</w:t>
            </w:r>
          </w:p>
          <w:p w14:paraId="2E1DAB4A" w14:textId="01CB9614" w:rsidR="00A57BC2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E57905">
              <w:rPr>
                <w:rFonts w:ascii="Times New Roman" w:hAnsi="Times New Roman" w:cs="Times New Roman"/>
              </w:rPr>
              <w:t>на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905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11411" w14:textId="7A492713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B661" w14:textId="636CEB61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077CA" w14:textId="648ED329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37 279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803DF9" w14:textId="5647AD73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149 116</w:t>
            </w:r>
          </w:p>
        </w:tc>
      </w:tr>
      <w:tr w:rsidR="00A57BC2" w:rsidRPr="007A4F62" w14:paraId="1F9C5E40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983DE67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2F7FB2B" w14:textId="3CB69D28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905">
              <w:rPr>
                <w:rFonts w:ascii="Times New Roman" w:hAnsi="Times New Roman" w:cs="Times New Roman"/>
              </w:rPr>
              <w:t>Гаммаглутаминтрансфераза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0A47333" w14:textId="77777777" w:rsidR="00E57905" w:rsidRPr="00E57905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Набор для измерения содержания гамма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глутамилтрансферазы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в сыворотке или плазме. Кинетический анализ. Количественное измерение гамма-ГТ используются в диагностике и лечении заболеваний печени, таких как цирроз, обструкция желчевыводящих путей и первичные и вторичные опухоли печени. Принцип измерения: гамма-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глутамильная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группа переносится из гамма-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глутамилкарбоксинитроанилида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глицил</w:t>
            </w:r>
            <w:proofErr w:type="spellEnd"/>
            <w:r w:rsidRPr="00E57905">
              <w:rPr>
                <w:rFonts w:ascii="Times New Roman" w:hAnsi="Times New Roman" w:cs="Times New Roman"/>
              </w:rPr>
              <w:t>-глицин гамма-</w:t>
            </w:r>
            <w:proofErr w:type="spellStart"/>
            <w:r w:rsidRPr="00E57905">
              <w:rPr>
                <w:rFonts w:ascii="Times New Roman" w:hAnsi="Times New Roman" w:cs="Times New Roman"/>
              </w:rPr>
              <w:t>глутамилтрансферазой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(ГГТ) в качестве </w:t>
            </w:r>
            <w:r w:rsidRPr="00E57905">
              <w:rPr>
                <w:rFonts w:ascii="Times New Roman" w:hAnsi="Times New Roman" w:cs="Times New Roman"/>
              </w:rPr>
              <w:lastRenderedPageBreak/>
              <w:t xml:space="preserve">катализатора. Скорость увеличения поглощения прямо пропорциональна активности ГГТ в образце. Состав: </w:t>
            </w:r>
            <w:proofErr w:type="spellStart"/>
            <w:r w:rsidRPr="00E57905">
              <w:rPr>
                <w:rFonts w:ascii="Times New Roman" w:hAnsi="Times New Roman" w:cs="Times New Roman"/>
              </w:rPr>
              <w:t>Tris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-буфер 30,0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NA-TPB 134,0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/л; борная кислота 250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/л. Условия хранения: хранить набор при 2-8°C. После вскрытия флакон R1 стабилен в течение 90 дней. Диапазон измерения: 5,0-800,0 </w:t>
            </w:r>
            <w:proofErr w:type="spellStart"/>
            <w:proofErr w:type="gramStart"/>
            <w:r w:rsidRPr="00E57905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7905">
              <w:rPr>
                <w:rFonts w:ascii="Times New Roman" w:hAnsi="Times New Roman" w:cs="Times New Roman"/>
              </w:rPr>
              <w:t xml:space="preserve">/л. Фасовка: R1 6X16+R2 6X4 мл. Аналитическая чувствительность: 5,0 </w:t>
            </w:r>
            <w:proofErr w:type="spellStart"/>
            <w:proofErr w:type="gramStart"/>
            <w:r w:rsidRPr="00E57905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7905">
              <w:rPr>
                <w:rFonts w:ascii="Times New Roman" w:hAnsi="Times New Roman" w:cs="Times New Roman"/>
              </w:rPr>
              <w:t>/л.</w:t>
            </w:r>
          </w:p>
          <w:p w14:paraId="5E6B9416" w14:textId="4FE458C6" w:rsidR="00A57BC2" w:rsidRDefault="00E57905" w:rsidP="00E57905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E57905">
              <w:rPr>
                <w:rFonts w:ascii="Times New Roman" w:hAnsi="Times New Roman" w:cs="Times New Roman"/>
              </w:rPr>
              <w:t>на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905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CE64F" w14:textId="062E7754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4821" w14:textId="3FA48B5C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7F541" w14:textId="26832AF4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58 829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F87B3A" w14:textId="1113A703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58 829</w:t>
            </w:r>
          </w:p>
        </w:tc>
      </w:tr>
      <w:tr w:rsidR="00A57BC2" w:rsidRPr="007A4F62" w14:paraId="3E1E8A4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12823E9" w14:textId="77777777" w:rsidR="00A57BC2" w:rsidRPr="007A4F62" w:rsidRDefault="00A57BC2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F65606" w14:textId="2C23A06F" w:rsidR="00A57BC2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E57905">
              <w:rPr>
                <w:rFonts w:ascii="Times New Roman" w:hAnsi="Times New Roman" w:cs="Times New Roman"/>
              </w:rPr>
              <w:t>ерритин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44ED661" w14:textId="17BB3504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ферритина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in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vitro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в сыворотке или плазме. Стабильность реагентов: невскрытые реагенты стабильны до конца указанного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срока</w:t>
            </w:r>
            <w:proofErr w:type="gramStart"/>
            <w:r w:rsidRPr="00E57905">
              <w:rPr>
                <w:rFonts w:ascii="Times New Roman" w:hAnsi="Times New Roman" w:cs="Times New Roman"/>
              </w:rPr>
              <w:t>.Ф</w:t>
            </w:r>
            <w:proofErr w:type="gramEnd"/>
            <w:r w:rsidRPr="00E57905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E57905">
              <w:rPr>
                <w:rFonts w:ascii="Times New Roman" w:hAnsi="Times New Roman" w:cs="Times New Roman"/>
              </w:rPr>
              <w:t>: R1 2x50 мл + R2 3x7мл</w:t>
            </w:r>
            <w:proofErr w:type="gramStart"/>
            <w:r w:rsidRPr="00E57905">
              <w:rPr>
                <w:rFonts w:ascii="Times New Roman" w:hAnsi="Times New Roman" w:cs="Times New Roman"/>
              </w:rPr>
              <w:t>.Д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33BE6" w14:textId="03EDA383" w:rsidR="00A57BC2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DDFA4" w14:textId="4EA68FE3" w:rsidR="00A57BC2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95E6E" w14:textId="4D526765" w:rsidR="00A57BC2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1 073 059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C8A995" w14:textId="0661FAD0" w:rsidR="00A57BC2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9 657 531</w:t>
            </w:r>
          </w:p>
        </w:tc>
      </w:tr>
      <w:tr w:rsidR="00E57905" w:rsidRPr="007A4F62" w14:paraId="51012E7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C80C84D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3910020" w14:textId="3998347F" w:rsidR="00E57905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905">
              <w:rPr>
                <w:rFonts w:ascii="Times New Roman" w:hAnsi="Times New Roman" w:cs="Times New Roman"/>
              </w:rPr>
              <w:t>Ферритин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3CBE9069" w14:textId="7AD98A47" w:rsidR="00E57905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Калибратор для использования в тестах для количественного определения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ферритина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in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vitro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на автоматической фотометрической системе. Калибраторы основаны на плазме человека. Условия хранения: калибратор в открытом и закрытом виде должен храниться при температуре 2–8°C. Не замораживать</w:t>
            </w:r>
            <w:proofErr w:type="gramStart"/>
            <w:r w:rsidRPr="00E57905">
              <w:rPr>
                <w:rFonts w:ascii="Times New Roman" w:hAnsi="Times New Roman" w:cs="Times New Roman"/>
              </w:rPr>
              <w:t>.Ф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асовка:4х1мл.Для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6DC3D" w14:textId="069ACC71" w:rsidR="00E57905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C1709" w14:textId="7BA1CE42" w:rsidR="00E57905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C65F2" w14:textId="0972B78F" w:rsidR="00E57905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746 655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5FDF2A" w14:textId="44A95E56" w:rsidR="00E57905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1 493 310</w:t>
            </w:r>
          </w:p>
        </w:tc>
      </w:tr>
      <w:tr w:rsidR="00E57905" w:rsidRPr="007A4F62" w14:paraId="7BD5F975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82360F6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4BA54B" w14:textId="2393406F" w:rsidR="00E57905" w:rsidRDefault="00E57905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</w:rPr>
              <w:t>Ферритин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6111059C" w14:textId="69DD5F58" w:rsidR="00E57905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 w:rsidRPr="00E57905">
              <w:rPr>
                <w:rFonts w:ascii="Times New Roman" w:hAnsi="Times New Roman" w:cs="Times New Roman"/>
              </w:rPr>
              <w:t xml:space="preserve">Проанализированный материал для контроля качества для мониторинга аналитических характеристик количественного анализа </w:t>
            </w:r>
            <w:proofErr w:type="spellStart"/>
            <w:r w:rsidRPr="00E57905">
              <w:rPr>
                <w:rFonts w:ascii="Times New Roman" w:hAnsi="Times New Roman" w:cs="Times New Roman"/>
              </w:rPr>
              <w:t>in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905">
              <w:rPr>
                <w:rFonts w:ascii="Times New Roman" w:hAnsi="Times New Roman" w:cs="Times New Roman"/>
              </w:rPr>
              <w:t>vitro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определение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ферритина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. Описание: жидко-стабильный контроль на основе плазмы </w:t>
            </w:r>
            <w:proofErr w:type="spellStart"/>
            <w:r w:rsidRPr="00E57905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E57905">
              <w:rPr>
                <w:rFonts w:ascii="Times New Roman" w:hAnsi="Times New Roman" w:cs="Times New Roman"/>
              </w:rPr>
              <w:t>.У</w:t>
            </w:r>
            <w:proofErr w:type="gramEnd"/>
            <w:r w:rsidRPr="00E57905">
              <w:rPr>
                <w:rFonts w:ascii="Times New Roman" w:hAnsi="Times New Roman" w:cs="Times New Roman"/>
              </w:rPr>
              <w:t>словия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хранения: невскрытые флаконы необходимо хранить при температуре 2-8°C. Стабильность: в закрытом виде до конца указанного месяца истечения срока </w:t>
            </w:r>
            <w:r w:rsidRPr="00E57905">
              <w:rPr>
                <w:rFonts w:ascii="Times New Roman" w:hAnsi="Times New Roman" w:cs="Times New Roman"/>
              </w:rPr>
              <w:lastRenderedPageBreak/>
              <w:t>годности</w:t>
            </w:r>
            <w:proofErr w:type="gramStart"/>
            <w:r w:rsidRPr="00E57905">
              <w:rPr>
                <w:rFonts w:ascii="Times New Roman" w:hAnsi="Times New Roman" w:cs="Times New Roman"/>
              </w:rPr>
              <w:t>.Ф</w:t>
            </w:r>
            <w:proofErr w:type="gramEnd"/>
            <w:r w:rsidRPr="00E57905">
              <w:rPr>
                <w:rFonts w:ascii="Times New Roman" w:hAnsi="Times New Roman" w:cs="Times New Roman"/>
              </w:rPr>
              <w:t xml:space="preserve">асовка:2х3мл.Для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57905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E57905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129EE" w14:textId="6C9F986B" w:rsidR="00E57905" w:rsidRDefault="00E57905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27DC1" w14:textId="41A73ED3" w:rsidR="00E57905" w:rsidRDefault="00E57905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3D57" w14:textId="48220B87" w:rsidR="00E57905" w:rsidRDefault="00E57905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787 454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80FF7B" w14:textId="118C27C6" w:rsidR="00E57905" w:rsidRDefault="00E57905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3 149 816</w:t>
            </w:r>
          </w:p>
        </w:tc>
      </w:tr>
      <w:tr w:rsidR="00E57905" w:rsidRPr="007A4F62" w14:paraId="2EBFEF6E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6386572B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3CB0841" w14:textId="1D9503D6" w:rsidR="00E57905" w:rsidRDefault="00C91F90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Реактивный белок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8F432C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C91F90">
              <w:rPr>
                <w:rFonts w:ascii="Times New Roman" w:hAnsi="Times New Roman" w:cs="Times New Roman"/>
              </w:rPr>
              <w:t>in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F90">
              <w:rPr>
                <w:rFonts w:ascii="Times New Roman" w:hAnsi="Times New Roman" w:cs="Times New Roman"/>
              </w:rPr>
              <w:t>vitro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C-реактивного белка (CRP) в сыворотке или плазме.</w:t>
            </w:r>
          </w:p>
          <w:p w14:paraId="0F087437" w14:textId="3710DCE8" w:rsidR="00E57905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Принцип: определение концентрации СРБ фотометрическим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измерением,реакция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антиген-антитело между антителами против человеческого CRP и CRP, присутствующего в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образце</w:t>
            </w:r>
            <w:proofErr w:type="gramStart"/>
            <w:r w:rsidRPr="00C91F90">
              <w:rPr>
                <w:rFonts w:ascii="Times New Roman" w:hAnsi="Times New Roman" w:cs="Times New Roman"/>
              </w:rPr>
              <w:t>.Ф</w:t>
            </w:r>
            <w:proofErr w:type="gramEnd"/>
            <w:r w:rsidRPr="00C91F90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C91F90">
              <w:rPr>
                <w:rFonts w:ascii="Times New Roman" w:hAnsi="Times New Roman" w:cs="Times New Roman"/>
              </w:rPr>
              <w:t>: R1 2x40мл+R2 2x10мл + STD 1х1мл</w:t>
            </w:r>
            <w:proofErr w:type="gramStart"/>
            <w:r w:rsidRPr="00C91F90">
              <w:rPr>
                <w:rFonts w:ascii="Times New Roman" w:hAnsi="Times New Roman" w:cs="Times New Roman"/>
              </w:rPr>
              <w:t>.Д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2A36" w14:textId="1CF775BE" w:rsidR="00E57905" w:rsidRDefault="00C91F90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3375B" w14:textId="5C6CBC1C" w:rsidR="00E57905" w:rsidRDefault="00C91F90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F5A73" w14:textId="52795FF4" w:rsidR="00E57905" w:rsidRDefault="00C91F90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215 131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CDD70C" w14:textId="50478B43" w:rsidR="00E57905" w:rsidRDefault="00C91F90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4 302 620</w:t>
            </w:r>
          </w:p>
        </w:tc>
      </w:tr>
      <w:tr w:rsidR="00E57905" w:rsidRPr="007A4F62" w14:paraId="38CDEA6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D8D90A7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AF3141C" w14:textId="6555A0E9" w:rsidR="00E57905" w:rsidRDefault="00C91F90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7D710EE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>ASO-</w:t>
            </w:r>
            <w:proofErr w:type="spellStart"/>
            <w:r w:rsidRPr="00C91F90">
              <w:rPr>
                <w:rFonts w:ascii="Times New Roman" w:hAnsi="Times New Roman" w:cs="Times New Roman"/>
              </w:rPr>
              <w:t>Turbilatex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- это количественный турбидиметрический тест для измерения ASO в сыворотке или плазме крови человека. Частицы латекса, покрытые </w:t>
            </w:r>
            <w:proofErr w:type="spellStart"/>
            <w:r w:rsidRPr="00C91F90">
              <w:rPr>
                <w:rFonts w:ascii="Times New Roman" w:hAnsi="Times New Roman" w:cs="Times New Roman"/>
              </w:rPr>
              <w:t>стрептолизином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O (SLO),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агглютинируются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при смешивании с образцами, содержащими ASO. Агглютинация вызывает изменение поглощения, зависящее от содержания ASO в образце пациента, которое может быть определено количественно путем сравнения с помощью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калибратора</w:t>
            </w:r>
            <w:proofErr w:type="gramStart"/>
            <w:r w:rsidRPr="00C91F90">
              <w:rPr>
                <w:rFonts w:ascii="Times New Roman" w:hAnsi="Times New Roman" w:cs="Times New Roman"/>
              </w:rPr>
              <w:t>.И</w:t>
            </w:r>
            <w:proofErr w:type="gramEnd"/>
            <w:r w:rsidRPr="00C91F90">
              <w:rPr>
                <w:rFonts w:ascii="Times New Roman" w:hAnsi="Times New Roman" w:cs="Times New Roman"/>
              </w:rPr>
              <w:t>змерение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антител к ASO полезно для диагностики ревматической лихорадки, острого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гломерулонефрита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и стрептококковых инфекций. </w:t>
            </w:r>
          </w:p>
          <w:p w14:paraId="00B1482A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Состав: R1 (разбавитель) - </w:t>
            </w:r>
            <w:proofErr w:type="spellStart"/>
            <w:r w:rsidRPr="00C91F90">
              <w:rPr>
                <w:rFonts w:ascii="Times New Roman" w:hAnsi="Times New Roman" w:cs="Times New Roman"/>
              </w:rPr>
              <w:t>Tris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-буфер 20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/л, рН 8,2 и консервант; R2 (латекс) - латексные частицы, покрытые </w:t>
            </w:r>
            <w:proofErr w:type="spellStart"/>
            <w:r w:rsidRPr="00C91F90">
              <w:rPr>
                <w:rFonts w:ascii="Times New Roman" w:hAnsi="Times New Roman" w:cs="Times New Roman"/>
              </w:rPr>
              <w:t>стрептолизином</w:t>
            </w:r>
            <w:proofErr w:type="spellEnd"/>
            <w:proofErr w:type="gramStart"/>
            <w:r w:rsidRPr="00C91F9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91F90">
              <w:rPr>
                <w:rFonts w:ascii="Times New Roman" w:hAnsi="Times New Roman" w:cs="Times New Roman"/>
              </w:rPr>
              <w:t>, рН 10,0 и консервант; CAL - Человеческая сыворотка, концентрация АСО указана на этикетке флакона. Условия хранения: хранить набор при 2-8°C. После вскрытия флакон R1 и R2 стабильны в течение 30 дней, CAL при 2-8°C стабилен 1 месяц, при -20°C 3 месяца. Диапазон измерения: 20-3000 МЕ/</w:t>
            </w:r>
            <w:proofErr w:type="spellStart"/>
            <w:r w:rsidRPr="00C91F90">
              <w:rPr>
                <w:rFonts w:ascii="Times New Roman" w:hAnsi="Times New Roman" w:cs="Times New Roman"/>
              </w:rPr>
              <w:t>мл</w:t>
            </w:r>
            <w:proofErr w:type="gramStart"/>
            <w:r w:rsidRPr="00C91F90">
              <w:rPr>
                <w:rFonts w:ascii="Times New Roman" w:hAnsi="Times New Roman" w:cs="Times New Roman"/>
              </w:rPr>
              <w:t>.Ф</w:t>
            </w:r>
            <w:proofErr w:type="gramEnd"/>
            <w:r w:rsidRPr="00C91F90">
              <w:rPr>
                <w:rFonts w:ascii="Times New Roman" w:hAnsi="Times New Roman" w:cs="Times New Roman"/>
              </w:rPr>
              <w:t>асовка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: R1 1x40мл+R2 1x10мл + CAL 1х1мл. </w:t>
            </w:r>
          </w:p>
          <w:p w14:paraId="3A574DEA" w14:textId="2C2A3499" w:rsidR="00E57905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C91F90">
              <w:rPr>
                <w:rFonts w:ascii="Times New Roman" w:hAnsi="Times New Roman" w:cs="Times New Roman"/>
              </w:rPr>
              <w:t>на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1F90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</w:t>
            </w:r>
            <w:r w:rsidRPr="00C91F90">
              <w:rPr>
                <w:rFonts w:ascii="Times New Roman" w:hAnsi="Times New Roman" w:cs="Times New Roman"/>
              </w:rPr>
              <w:lastRenderedPageBreak/>
              <w:t>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4D862" w14:textId="6A30940B" w:rsidR="00E57905" w:rsidRDefault="00C91F90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E014A" w14:textId="64AC53C1" w:rsidR="00E57905" w:rsidRDefault="00C91F90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45DFB" w14:textId="42160EE5" w:rsidR="00E57905" w:rsidRDefault="00C91F90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103 857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1647D0" w14:textId="19AE080F" w:rsidR="00E57905" w:rsidRDefault="00C91F90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1 453 998</w:t>
            </w:r>
          </w:p>
        </w:tc>
      </w:tr>
      <w:tr w:rsidR="00E57905" w:rsidRPr="007A4F62" w14:paraId="718EB2EF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82B92E5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AAF3389" w14:textId="46F9720B" w:rsidR="00E57905" w:rsidRDefault="00C91F90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Ревматоидный фактор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1DC0EE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Диагностический реагент для количественного определения </w:t>
            </w:r>
            <w:proofErr w:type="spellStart"/>
            <w:r w:rsidRPr="00C91F90">
              <w:rPr>
                <w:rFonts w:ascii="Times New Roman" w:hAnsi="Times New Roman" w:cs="Times New Roman"/>
              </w:rPr>
              <w:t>in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F90">
              <w:rPr>
                <w:rFonts w:ascii="Times New Roman" w:hAnsi="Times New Roman" w:cs="Times New Roman"/>
              </w:rPr>
              <w:t>vitro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ревматоидного фактора (РФ) в сыворотке или плазме крови. </w:t>
            </w:r>
          </w:p>
          <w:p w14:paraId="4E58C82A" w14:textId="6A7F3982" w:rsidR="00E57905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Реагенты стабильны до конца указанного месяца. Срок годности при хранении при 2-8°С, в защищенном от света и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загрязнений</w:t>
            </w:r>
            <w:proofErr w:type="gramStart"/>
            <w:r w:rsidRPr="00C91F90">
              <w:rPr>
                <w:rFonts w:ascii="Times New Roman" w:hAnsi="Times New Roman" w:cs="Times New Roman"/>
              </w:rPr>
              <w:t>.П</w:t>
            </w:r>
            <w:proofErr w:type="gramEnd"/>
            <w:r w:rsidRPr="00C91F90">
              <w:rPr>
                <w:rFonts w:ascii="Times New Roman" w:hAnsi="Times New Roman" w:cs="Times New Roman"/>
              </w:rPr>
              <w:t>редел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обнаружения: 3,9 МЕ / мл.Фасовка:R1 1х40мл+R2 1х10мл + CAL 1х1мл</w:t>
            </w:r>
            <w:proofErr w:type="gramStart"/>
            <w:r w:rsidRPr="00C91F90">
              <w:rPr>
                <w:rFonts w:ascii="Times New Roman" w:hAnsi="Times New Roman" w:cs="Times New Roman"/>
              </w:rPr>
              <w:t>.Д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3D258" w14:textId="2DCE2245" w:rsidR="00E57905" w:rsidRDefault="00C91F90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940B4" w14:textId="58057613" w:rsidR="00E57905" w:rsidRDefault="00C91F90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3FED9" w14:textId="745CE76C" w:rsidR="00E57905" w:rsidRDefault="00C91F90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107 566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7F4B349" w14:textId="03C641C0" w:rsidR="00E57905" w:rsidRDefault="00C91F90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1 183 226</w:t>
            </w:r>
          </w:p>
        </w:tc>
      </w:tr>
      <w:tr w:rsidR="00E57905" w:rsidRPr="007A4F62" w14:paraId="32C18106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3299D5E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E86E596" w14:textId="33E0B42B" w:rsidR="00E57905" w:rsidRPr="00C91F90" w:rsidRDefault="00C91F90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контроль </w:t>
            </w:r>
            <w:proofErr w:type="spellStart"/>
            <w:r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реактивный белок/Ревматоидный фактор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CB5F28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Контроль (патология) для использования </w:t>
            </w:r>
            <w:proofErr w:type="spellStart"/>
            <w:r w:rsidRPr="00C91F90">
              <w:rPr>
                <w:rFonts w:ascii="Times New Roman" w:hAnsi="Times New Roman" w:cs="Times New Roman"/>
              </w:rPr>
              <w:t>in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F90">
              <w:rPr>
                <w:rFonts w:ascii="Times New Roman" w:hAnsi="Times New Roman" w:cs="Times New Roman"/>
              </w:rPr>
              <w:t>vitro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, проведения контроля качества результатов, полученных при измерении антистрептолизина-0, </w:t>
            </w:r>
            <w:proofErr w:type="gramStart"/>
            <w:r w:rsidRPr="00C91F90">
              <w:rPr>
                <w:rFonts w:ascii="Times New Roman" w:hAnsi="Times New Roman" w:cs="Times New Roman"/>
              </w:rPr>
              <w:t>С-реактивного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 белка и ревматоидных факторов в </w:t>
            </w:r>
            <w:proofErr w:type="spellStart"/>
            <w:r w:rsidRPr="00C91F90">
              <w:rPr>
                <w:rFonts w:ascii="Times New Roman" w:hAnsi="Times New Roman" w:cs="Times New Roman"/>
              </w:rPr>
              <w:t>турбидиметрии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. Продукт человеческого происхождения. Способ применения: открыть один флакон контроля, избегая потери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лиофилизата</w:t>
            </w:r>
            <w:proofErr w:type="gramStart"/>
            <w:r w:rsidRPr="00C91F90">
              <w:rPr>
                <w:rFonts w:ascii="Times New Roman" w:hAnsi="Times New Roman" w:cs="Times New Roman"/>
              </w:rPr>
              <w:t>.Р</w:t>
            </w:r>
            <w:proofErr w:type="gramEnd"/>
            <w:r w:rsidRPr="00C91F90">
              <w:rPr>
                <w:rFonts w:ascii="Times New Roman" w:hAnsi="Times New Roman" w:cs="Times New Roman"/>
              </w:rPr>
              <w:t>азвести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лиофилизированную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сыворотку ровно 1,0 мл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бидистиллированной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воды.Закрыть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флакон и дать постоять 20 минут вдали от яркого </w:t>
            </w:r>
            <w:proofErr w:type="spellStart"/>
            <w:r w:rsidRPr="00C91F90">
              <w:rPr>
                <w:rFonts w:ascii="Times New Roman" w:hAnsi="Times New Roman" w:cs="Times New Roman"/>
              </w:rPr>
              <w:t>света.Перед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использованием перемешать, перевернув </w:t>
            </w:r>
            <w:proofErr w:type="spellStart"/>
            <w:r w:rsidRPr="00C91F90">
              <w:rPr>
                <w:rFonts w:ascii="Times New Roman" w:hAnsi="Times New Roman" w:cs="Times New Roman"/>
              </w:rPr>
              <w:t>флакон.Не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встряхивать флакон, так как следует избегать образования пены.</w:t>
            </w:r>
          </w:p>
          <w:p w14:paraId="540E68A2" w14:textId="77777777" w:rsidR="00C91F90" w:rsidRPr="00C91F90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Условия хранения: не восстановленная сыворотка стабильна до истечения срока годности при хранении 2-8°C. После восстановления стабильность плазмы сохраняется в течение 10 дней при температуре 2-8°C или 6 месяцев при температуре -20°C.Фасовка:6х1мл. </w:t>
            </w:r>
          </w:p>
          <w:p w14:paraId="68225513" w14:textId="47D0E64B" w:rsidR="00E57905" w:rsidRDefault="00C91F90" w:rsidP="00C91F90">
            <w:pPr>
              <w:jc w:val="center"/>
              <w:rPr>
                <w:rFonts w:ascii="Times New Roman" w:hAnsi="Times New Roman" w:cs="Times New Roman"/>
              </w:rPr>
            </w:pPr>
            <w:r w:rsidRPr="00C91F90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C91F90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C91F90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C91F90">
              <w:rPr>
                <w:rFonts w:ascii="Times New Roman" w:hAnsi="Times New Roman" w:cs="Times New Roman"/>
              </w:rPr>
              <w:t>на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1F90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C91F90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6B2D7" w14:textId="1F650892" w:rsidR="00E57905" w:rsidRDefault="00C91F90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79C06" w14:textId="02069266" w:rsidR="00E57905" w:rsidRDefault="00C91F90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97BAD" w14:textId="799E5831" w:rsidR="00E57905" w:rsidRDefault="00C91F90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261 572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AA9276" w14:textId="5D27D82A" w:rsidR="00E57905" w:rsidRDefault="00C91F90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1 046 288</w:t>
            </w:r>
          </w:p>
        </w:tc>
      </w:tr>
      <w:tr w:rsidR="00E57905" w:rsidRPr="007A4F62" w14:paraId="0D92D8B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156F81F0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1D88051" w14:textId="13C35418" w:rsidR="00E57905" w:rsidRDefault="00C91F90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Нормальный </w:t>
            </w:r>
            <w:r w:rsidR="000B1914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="000B1914"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  <w:r w:rsidR="000B191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="000B1914">
              <w:rPr>
                <w:rFonts w:ascii="Times New Roman" w:hAnsi="Times New Roman" w:cs="Times New Roman"/>
              </w:rPr>
              <w:t>О</w:t>
            </w:r>
            <w:proofErr w:type="gramEnd"/>
            <w:r w:rsidR="000B1914">
              <w:rPr>
                <w:rFonts w:ascii="Times New Roman" w:hAnsi="Times New Roman" w:cs="Times New Roman"/>
              </w:rPr>
              <w:t>/</w:t>
            </w:r>
            <w:proofErr w:type="gramStart"/>
            <w:r w:rsidR="000B1914">
              <w:rPr>
                <w:rFonts w:ascii="Times New Roman" w:hAnsi="Times New Roman" w:cs="Times New Roman"/>
              </w:rPr>
              <w:t>С</w:t>
            </w:r>
            <w:proofErr w:type="gramEnd"/>
            <w:r w:rsidR="000B1914">
              <w:rPr>
                <w:rFonts w:ascii="Times New Roman" w:hAnsi="Times New Roman" w:cs="Times New Roman"/>
              </w:rPr>
              <w:t xml:space="preserve"> – реактивный белок/Ревматоидный фактор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97250D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Контроль (норма) для использования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in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vitro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, проведения контроля качества результатов, полученных при измерении антистрептолизина-0, </w:t>
            </w:r>
            <w:proofErr w:type="gramStart"/>
            <w:r w:rsidRPr="000B1914">
              <w:rPr>
                <w:rFonts w:ascii="Times New Roman" w:hAnsi="Times New Roman" w:cs="Times New Roman"/>
              </w:rPr>
              <w:t>С-реактивного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белка и ревматоидных факторов в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турбидиметрии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. Продукт человеческого происхождения. Способ применения: открыть один флакон контроля, избегая потери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лиофилизата</w:t>
            </w:r>
            <w:proofErr w:type="gramStart"/>
            <w:r w:rsidRPr="000B1914">
              <w:rPr>
                <w:rFonts w:ascii="Times New Roman" w:hAnsi="Times New Roman" w:cs="Times New Roman"/>
              </w:rPr>
              <w:t>.Р</w:t>
            </w:r>
            <w:proofErr w:type="gramEnd"/>
            <w:r w:rsidRPr="000B1914">
              <w:rPr>
                <w:rFonts w:ascii="Times New Roman" w:hAnsi="Times New Roman" w:cs="Times New Roman"/>
              </w:rPr>
              <w:t>азвести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лиофилизированную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сыворотку ровно 1,0 мл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бидистиллированной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воды.Закрыть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флакон и дать постоять 20 минут вдали от яркого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света.Перед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использованием </w:t>
            </w:r>
            <w:r w:rsidRPr="000B1914">
              <w:rPr>
                <w:rFonts w:ascii="Times New Roman" w:hAnsi="Times New Roman" w:cs="Times New Roman"/>
              </w:rPr>
              <w:lastRenderedPageBreak/>
              <w:t xml:space="preserve">перемешать, перевернув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флакон.Не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встряхивать флакон, так как следует избегать образования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пены.Условия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хранения: не восстановленная сыворотка стабильна до истечения срока годности при хранении 2-8°C. После восстановления стабильность плазмы сохраняется в течение 10 дней при температуре 2-8°C или 6 месяцев при температуре -20°C.Фасовка: 6х1мл.</w:t>
            </w:r>
          </w:p>
          <w:p w14:paraId="19BFA31B" w14:textId="08755578" w:rsidR="00E57905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10A10" w14:textId="0EE4B3E1" w:rsidR="00E57905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BFE0D" w14:textId="76D5805F" w:rsidR="00E57905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E0453" w14:textId="77AAC135" w:rsidR="00E57905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344 211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D8C88E" w14:textId="6CC30277" w:rsidR="00E57905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688 422</w:t>
            </w:r>
          </w:p>
        </w:tc>
      </w:tr>
      <w:tr w:rsidR="00E57905" w:rsidRPr="007A4F62" w14:paraId="167A2805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404B35A8" w14:textId="77777777" w:rsidR="00E57905" w:rsidRPr="007A4F62" w:rsidRDefault="00E57905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0563DAF" w14:textId="62F2F92D" w:rsidR="00E57905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Калибратор сыворотки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6591E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914">
              <w:rPr>
                <w:rFonts w:ascii="Times New Roman" w:hAnsi="Times New Roman" w:cs="Times New Roman"/>
              </w:rPr>
              <w:t>Мультипараметровый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калибратор, предназначенный для проведения калибровки клинического химического анализа. </w:t>
            </w:r>
          </w:p>
          <w:p w14:paraId="6CC59BFA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Состав: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сыворотка</w:t>
            </w:r>
            <w:proofErr w:type="gramStart"/>
            <w:r w:rsidRPr="000B1914">
              <w:rPr>
                <w:rFonts w:ascii="Times New Roman" w:hAnsi="Times New Roman" w:cs="Times New Roman"/>
              </w:rPr>
              <w:t>.Х</w:t>
            </w:r>
            <w:proofErr w:type="gramEnd"/>
            <w:r w:rsidRPr="000B1914">
              <w:rPr>
                <w:rFonts w:ascii="Times New Roman" w:hAnsi="Times New Roman" w:cs="Times New Roman"/>
              </w:rPr>
              <w:t>ранение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стабильность:до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восстановления, при хранении при 2-8°C, контрольный образец стабилен до истечения срока годности. После растворения сыворотка стабильна: 8 </w:t>
            </w:r>
            <w:proofErr w:type="gramStart"/>
            <w:r w:rsidRPr="000B1914">
              <w:rPr>
                <w:rFonts w:ascii="Times New Roman" w:hAnsi="Times New Roman" w:cs="Times New Roman"/>
              </w:rPr>
              <w:t>часов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если хранилась при +25° C; 7 дней если хранилась при +4°C; 30 дней если хранилась при -20° C. Фасовка: 18x3мл. Соответствует Регламенту (ЕС) №1272/2008 - CLP и Директиве 88/379 / CEE.</w:t>
            </w:r>
          </w:p>
          <w:p w14:paraId="27891946" w14:textId="73FDBBFB" w:rsidR="00E57905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B5CD5" w14:textId="68217741" w:rsidR="00E57905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53F61" w14:textId="66E8E82E" w:rsidR="00E57905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D4A94" w14:textId="10201850" w:rsidR="00E57905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393 171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42B72E" w14:textId="3A51623F" w:rsidR="00E57905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393 171</w:t>
            </w:r>
          </w:p>
        </w:tc>
      </w:tr>
      <w:tr w:rsidR="000B1914" w:rsidRPr="007A4F62" w14:paraId="1AE36AEB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5AF36C11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785A204" w14:textId="76B06C7E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B1914">
              <w:rPr>
                <w:rFonts w:ascii="Times New Roman" w:hAnsi="Times New Roman" w:cs="Times New Roman"/>
              </w:rPr>
              <w:t>онтроль сыворотки Н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36313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Проанализированный материал для контроля качества для мониторинга эффективности количественного определения </w:t>
            </w:r>
            <w:proofErr w:type="gramStart"/>
            <w:r w:rsidRPr="000B1914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in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vitro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контроль на основе сыворотки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0B1914">
              <w:rPr>
                <w:rFonts w:ascii="Times New Roman" w:hAnsi="Times New Roman" w:cs="Times New Roman"/>
              </w:rPr>
              <w:t>.К</w:t>
            </w:r>
            <w:proofErr w:type="gramEnd"/>
            <w:r w:rsidRPr="000B1914">
              <w:rPr>
                <w:rFonts w:ascii="Times New Roman" w:hAnsi="Times New Roman" w:cs="Times New Roman"/>
              </w:rPr>
              <w:t>онцентрация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находится на нормальном уровне. Концентрация биологического материала не превышает максимальное целевое значение концентрации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аналита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для конкретной партии. Хранение и стабильность: до восстановления, при хранении при 2-8°C, контрольный образец стабилен до истечения срока годности. После растворения сыворотка стабильна: 8 </w:t>
            </w:r>
            <w:proofErr w:type="gramStart"/>
            <w:r w:rsidRPr="000B1914">
              <w:rPr>
                <w:rFonts w:ascii="Times New Roman" w:hAnsi="Times New Roman" w:cs="Times New Roman"/>
              </w:rPr>
              <w:t>часов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если хранилась при +25°C; 7 дней если хранилась при +4°C; 30 дней если хранилась при -20° C. Фасовка: 18x5мл. Соответствует Регламенту (ЕС) №1272/2008 - CLP и Директиве 88/379 / CEE.</w:t>
            </w:r>
          </w:p>
          <w:p w14:paraId="6CA5451F" w14:textId="689C77D6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</w:t>
            </w:r>
            <w:r w:rsidRPr="000B1914">
              <w:rPr>
                <w:rFonts w:ascii="Times New Roman" w:hAnsi="Times New Roman" w:cs="Times New Roman"/>
              </w:rPr>
              <w:lastRenderedPageBreak/>
              <w:t xml:space="preserve">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9B604" w14:textId="55AE45D4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885C0" w14:textId="19B9AC43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00FD5" w14:textId="03123C71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404 299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0C4C99" w14:textId="6DA57412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404 299</w:t>
            </w:r>
          </w:p>
        </w:tc>
      </w:tr>
      <w:tr w:rsidR="000B1914" w:rsidRPr="007A4F62" w14:paraId="79ECE637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85202E9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D46805B" w14:textId="1716AB68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B1914">
              <w:rPr>
                <w:rFonts w:ascii="Times New Roman" w:hAnsi="Times New Roman" w:cs="Times New Roman"/>
              </w:rPr>
              <w:t xml:space="preserve">онтроль сыворотки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14:paraId="252160B3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Материал для контроля качества для мониторинга результатов количественного определения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in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vitro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различных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контроль на основе сыворотки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0B1914">
              <w:rPr>
                <w:rFonts w:ascii="Times New Roman" w:hAnsi="Times New Roman" w:cs="Times New Roman"/>
              </w:rPr>
              <w:t>.К</w:t>
            </w:r>
            <w:proofErr w:type="gramEnd"/>
            <w:r w:rsidRPr="000B1914">
              <w:rPr>
                <w:rFonts w:ascii="Times New Roman" w:hAnsi="Times New Roman" w:cs="Times New Roman"/>
              </w:rPr>
              <w:t>онцентрация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находится на пограничном патологическом уровне. Концентрация биологического материала не превышает максимальное целевое значение концентрации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аналита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для конкретной партии. Хранение и стабильность: до восстановления, при хранении при 2-8 °C, контрольный образец стабилен до истечения срока годности. После растворения сыворотка стабильна: 8 </w:t>
            </w:r>
            <w:proofErr w:type="gramStart"/>
            <w:r w:rsidRPr="000B1914">
              <w:rPr>
                <w:rFonts w:ascii="Times New Roman" w:hAnsi="Times New Roman" w:cs="Times New Roman"/>
              </w:rPr>
              <w:t>часов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если хранилась при +25° C; 7 дней если хранилась при +4° C; 30 дней если хранилась при -20° C. Фасовка: 18x5мл. Соответствует Регламенту (ЕС) №1272/2008 - CLP и Директиве 88/379 / CEE.</w:t>
            </w:r>
          </w:p>
          <w:p w14:paraId="54B7097C" w14:textId="0C878A23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3BF81" w14:textId="46CB070A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66916" w14:textId="75D9F42B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A7E28" w14:textId="4578FC93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444 729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C6A676" w14:textId="4D7E5D0E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444 729</w:t>
            </w:r>
          </w:p>
        </w:tc>
      </w:tr>
      <w:tr w:rsidR="000B1914" w:rsidRPr="007A4F62" w14:paraId="1F2445CF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F461490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E8FA664" w14:textId="48B42203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>Галогеновая лампа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5E416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>Источник света, лампа накаливания, в баллон которой добавлен буферный газ: пары галогенов</w:t>
            </w:r>
            <w:proofErr w:type="gramStart"/>
            <w:r w:rsidRPr="000B191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B1914">
              <w:rPr>
                <w:rFonts w:ascii="Times New Roman" w:hAnsi="Times New Roman" w:cs="Times New Roman"/>
              </w:rPr>
              <w:t>Колба лампы изготовлен из кварцевого стекла. Галогенные лампы очень чувствительны к жировым загрязнениям.</w:t>
            </w:r>
          </w:p>
          <w:p w14:paraId="57EF0825" w14:textId="426BF556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47AA" w14:textId="1298FCD0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1FE88" w14:textId="122774C8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E5C9A" w14:textId="0EB7DF7F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237 387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037ECD" w14:textId="3F05BF83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237 387</w:t>
            </w:r>
          </w:p>
        </w:tc>
      </w:tr>
      <w:tr w:rsidR="000B1914" w:rsidRPr="007A4F62" w14:paraId="06AB73F3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7EDE808F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F6FA84" w14:textId="3B2FFF96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B1914">
              <w:rPr>
                <w:rFonts w:ascii="Times New Roman" w:hAnsi="Times New Roman" w:cs="Times New Roman"/>
              </w:rPr>
              <w:t>еакционные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0B1914">
              <w:rPr>
                <w:rFonts w:ascii="Times New Roman" w:hAnsi="Times New Roman" w:cs="Times New Roman"/>
              </w:rPr>
              <w:t xml:space="preserve">юветы,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B1914">
              <w:rPr>
                <w:rFonts w:ascii="Times New Roman" w:hAnsi="Times New Roman" w:cs="Times New Roman"/>
              </w:rPr>
              <w:t xml:space="preserve"> 200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1F2D37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Реакционные кюветы особой формы для биохимического анализатора из оптического стекла предназначены для проведения реакции и снятия результата. Предназначены для профессионального диагностического применения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in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vitro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в клинических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лабораториях</w:t>
            </w:r>
            <w:proofErr w:type="gramStart"/>
            <w:r w:rsidRPr="000B1914">
              <w:rPr>
                <w:rFonts w:ascii="Times New Roman" w:hAnsi="Times New Roman" w:cs="Times New Roman"/>
              </w:rPr>
              <w:t>.М</w:t>
            </w:r>
            <w:proofErr w:type="gramEnd"/>
            <w:r w:rsidRPr="000B1914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: УФ-пропускающий полипропилен. Максимальный реакционный объем: 400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мкл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. Длина оптического пути: 6 мм. Параметры кюветы, </w:t>
            </w:r>
            <w:proofErr w:type="gramStart"/>
            <w:r w:rsidRPr="000B1914">
              <w:rPr>
                <w:rFonts w:ascii="Times New Roman" w:hAnsi="Times New Roman" w:cs="Times New Roman"/>
              </w:rPr>
              <w:t>мм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: 27,5 (высота) х 0,6 (ширина) х 0,7 (длина). Фасовка: 80 кювет в </w:t>
            </w:r>
            <w:r w:rsidRPr="000B1914">
              <w:rPr>
                <w:rFonts w:ascii="Times New Roman" w:hAnsi="Times New Roman" w:cs="Times New Roman"/>
              </w:rPr>
              <w:lastRenderedPageBreak/>
              <w:t>упаковке. Кюветы автоматически моются в процессе измерений. Условия хранения: до 42°C, вдали от солнечных лучей света. Срок годности: 10 лет.</w:t>
            </w:r>
          </w:p>
          <w:p w14:paraId="75F56A80" w14:textId="301689A8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39474" w14:textId="6BABC81F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30BF9" w14:textId="38294227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EFD2A" w14:textId="21DB936F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725 760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D30674" w14:textId="7FB3C4D0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725 760</w:t>
            </w:r>
          </w:p>
        </w:tc>
      </w:tr>
      <w:tr w:rsidR="000B1914" w:rsidRPr="007A4F62" w14:paraId="1280C8FA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37971C34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B21D7C6" w14:textId="5A0F792B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>Системный раствор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786090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Общий раствор экстра используется для промывки кювет. Благодаря превосходному снижению поверхностного натяжения, он эффективно удаляет широкий спектр загрязнений и легко смывается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деионизированной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водой. Промывка кювет стабильна до истечения срока годности, если хранится при 15-25ºC, закрыта после взятия, защищена от загрязнения. Фасовка: 6х50мл.</w:t>
            </w:r>
          </w:p>
          <w:p w14:paraId="1C5F9B74" w14:textId="791D6B5F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B606C" w14:textId="42744A83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EDA4F" w14:textId="025B6680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DA090D" w14:textId="0777E6FD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51 001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9A1768" w14:textId="7C5066BC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1 122 022</w:t>
            </w:r>
          </w:p>
        </w:tc>
      </w:tr>
      <w:tr w:rsidR="000B1914" w:rsidRPr="007A4F62" w14:paraId="2F5C92AB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54A7E2F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D788BF" w14:textId="6B250C97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1914">
              <w:rPr>
                <w:rFonts w:ascii="Times New Roman" w:hAnsi="Times New Roman" w:cs="Times New Roman"/>
              </w:rPr>
              <w:t>ромывочный раствор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B2B4C3" w14:textId="77777777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Чистящий раствор на щелочной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основе</w:t>
            </w:r>
            <w:proofErr w:type="gramStart"/>
            <w:r w:rsidRPr="000B1914">
              <w:rPr>
                <w:rFonts w:ascii="Times New Roman" w:hAnsi="Times New Roman" w:cs="Times New Roman"/>
              </w:rPr>
              <w:t>.О</w:t>
            </w:r>
            <w:proofErr w:type="gramEnd"/>
            <w:r w:rsidRPr="000B1914">
              <w:rPr>
                <w:rFonts w:ascii="Times New Roman" w:hAnsi="Times New Roman" w:cs="Times New Roman"/>
              </w:rPr>
              <w:t>чиститель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стабилен до конца указанного месяца срока годности при хранении при температуре 2-25 ° C и предотвращении загрязнения. Не замораживать. Фасовка: 6х50 мл.</w:t>
            </w:r>
          </w:p>
          <w:p w14:paraId="28A5DFA7" w14:textId="49CD4F6B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1E274" w14:textId="646C86A6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985B5" w14:textId="327672C9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B5D79" w14:textId="051E52C1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49 630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6DDA4D" w14:textId="77595F65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595 560</w:t>
            </w:r>
          </w:p>
        </w:tc>
      </w:tr>
      <w:tr w:rsidR="000B1914" w:rsidRPr="007A4F62" w14:paraId="21FD2C93" w14:textId="77777777" w:rsidTr="00E57905">
        <w:trPr>
          <w:trHeight w:val="255"/>
        </w:trPr>
        <w:tc>
          <w:tcPr>
            <w:tcW w:w="284" w:type="dxa"/>
            <w:shd w:val="clear" w:color="auto" w:fill="auto"/>
            <w:vAlign w:val="center"/>
          </w:tcPr>
          <w:p w14:paraId="2BF5A94B" w14:textId="77777777" w:rsidR="000B1914" w:rsidRPr="007A4F62" w:rsidRDefault="000B1914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A6C68AF" w14:textId="3094AEEE" w:rsidR="000B1914" w:rsidRDefault="000B1914" w:rsidP="00AC18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0B1914">
              <w:rPr>
                <w:rFonts w:ascii="Times New Roman" w:hAnsi="Times New Roman" w:cs="Times New Roman"/>
              </w:rPr>
              <w:t>изат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гликогемоглобина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7BF8B98B" w14:textId="2FA47188" w:rsidR="000B1914" w:rsidRPr="000B1914" w:rsidRDefault="000B1914" w:rsidP="000B1914">
            <w:pPr>
              <w:jc w:val="center"/>
              <w:rPr>
                <w:rFonts w:ascii="Times New Roman" w:hAnsi="Times New Roman" w:cs="Times New Roman"/>
              </w:rPr>
            </w:pPr>
            <w:r w:rsidRPr="000B1914">
              <w:rPr>
                <w:rFonts w:ascii="Times New Roman" w:hAnsi="Times New Roman" w:cs="Times New Roman"/>
              </w:rPr>
              <w:t xml:space="preserve">Дополнительный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реагент, используемый для процентного содержания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гликолизированного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гемоглобина при диагностике диабета. Гематологический реагент индуцирует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искуственное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разрушение клеток </w:t>
            </w:r>
            <w:proofErr w:type="spellStart"/>
            <w:r w:rsidRPr="000B1914">
              <w:rPr>
                <w:rFonts w:ascii="Times New Roman" w:hAnsi="Times New Roman" w:cs="Times New Roman"/>
              </w:rPr>
              <w:t>эритрацитов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с высвобождением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гликированного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гемоглобина для последующего измерения. Фасовка: 1X100 мл. Условия хранения: 2-8° C. Производство; Италия.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0B1914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0B1914">
              <w:rPr>
                <w:rFonts w:ascii="Times New Roman" w:hAnsi="Times New Roman" w:cs="Times New Roman"/>
              </w:rPr>
              <w:t xml:space="preserve"> </w:t>
            </w:r>
            <w:r w:rsidRPr="000B1914">
              <w:rPr>
                <w:rFonts w:ascii="Times New Roman" w:hAnsi="Times New Roman" w:cs="Times New Roman"/>
              </w:rPr>
              <w:lastRenderedPageBreak/>
              <w:t xml:space="preserve">калибровки </w:t>
            </w:r>
            <w:proofErr w:type="gramStart"/>
            <w:r w:rsidRPr="000B1914">
              <w:rPr>
                <w:rFonts w:ascii="Times New Roman" w:hAnsi="Times New Roman" w:cs="Times New Roman"/>
              </w:rPr>
              <w:t>на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1914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0B1914">
              <w:rPr>
                <w:rFonts w:ascii="Times New Roman" w:hAnsi="Times New Roman" w:cs="Times New Roman"/>
              </w:rPr>
              <w:t xml:space="preserve">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2FDA3" w14:textId="52A4410D" w:rsidR="000B1914" w:rsidRDefault="000B191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91EAB" w14:textId="026076FA" w:rsidR="000B1914" w:rsidRDefault="000B1914" w:rsidP="007A4F62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A78C3" w14:textId="49C113D6" w:rsidR="000B1914" w:rsidRDefault="000B1914" w:rsidP="007A4F62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17 496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97A762" w14:textId="0F22C95F" w:rsidR="000B1914" w:rsidRDefault="000B191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69 984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38907506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D07F1" w:rsidRPr="008D07F1">
        <w:rPr>
          <w:rFonts w:asciiTheme="majorHAnsi" w:hAnsiTheme="majorHAnsi"/>
          <w:b/>
          <w:sz w:val="24"/>
          <w:szCs w:val="24"/>
        </w:rPr>
        <w:t>Рабандияров</w:t>
      </w:r>
      <w:proofErr w:type="spellEnd"/>
      <w:r w:rsidR="008D07F1" w:rsidRPr="008D07F1">
        <w:rPr>
          <w:rFonts w:asciiTheme="majorHAnsi" w:hAnsiTheme="majorHAnsi"/>
          <w:b/>
          <w:sz w:val="24"/>
          <w:szCs w:val="24"/>
        </w:rPr>
        <w:t xml:space="preserve">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ED9DD" w14:textId="77777777" w:rsidR="00A66A70" w:rsidRDefault="00A66A70" w:rsidP="00A9511B">
      <w:r>
        <w:separator/>
      </w:r>
    </w:p>
  </w:endnote>
  <w:endnote w:type="continuationSeparator" w:id="0">
    <w:p w14:paraId="4BA11150" w14:textId="77777777" w:rsidR="00A66A70" w:rsidRDefault="00A66A70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93E6" w14:textId="77777777" w:rsidR="00A66A70" w:rsidRDefault="00A66A70" w:rsidP="00A9511B">
      <w:r>
        <w:separator/>
      </w:r>
    </w:p>
  </w:footnote>
  <w:footnote w:type="continuationSeparator" w:id="0">
    <w:p w14:paraId="54F5CD57" w14:textId="77777777" w:rsidR="00A66A70" w:rsidRDefault="00A66A70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1914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4309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5582"/>
    <w:rsid w:val="003C5E7F"/>
    <w:rsid w:val="003C6EF9"/>
    <w:rsid w:val="003C72BB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D5AC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3E6D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20FD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D75F6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4969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C7F83"/>
    <w:rsid w:val="008D07F1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57BC2"/>
    <w:rsid w:val="00A60F1E"/>
    <w:rsid w:val="00A6276B"/>
    <w:rsid w:val="00A667FE"/>
    <w:rsid w:val="00A66A70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1C94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1F90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57905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7A4D-CBB9-4C21-A62F-84715A04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7654</Words>
  <Characters>43628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</cp:lastModifiedBy>
  <cp:revision>10</cp:revision>
  <cp:lastPrinted>2023-04-04T06:33:00Z</cp:lastPrinted>
  <dcterms:created xsi:type="dcterms:W3CDTF">2023-04-04T06:39:00Z</dcterms:created>
  <dcterms:modified xsi:type="dcterms:W3CDTF">2023-04-12T06:27:00Z</dcterms:modified>
</cp:coreProperties>
</file>